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Override PartName="/word/footer1.xml" ContentType="application/vnd.openxmlformats-officedocument.wordprocessingml.footer+xml"/>
  <Override PartName="/word/numbering.xml" ContentType="application/vnd.openxmlformats-officedocument.wordprocessingml.numbering+xml"/>
  <Override PartName="/customXml/itemProps2.xml" ContentType="application/vnd.openxmlformats-officedocument.customXmlProperties+xml"/>
  <Override PartName="/word/settings.xml" ContentType="application/vnd.openxmlformats-officedocument.wordprocessingml.settings+xml"/>
  <Override PartName="/docProps/custom.xml" ContentType="application/vnd.openxmlformats-officedocument.custom-properties+xml"/>
  <Override PartName="/word/document.xml" ContentType="application/vnd.openxmlformats-officedocument.wordprocessingml.document.main+xml"/>
  <Override PartName="/customXml/itemProps1.xml" ContentType="application/vnd.openxmlformats-officedocument.customXmlProperties+xml"/>
  <Override PartName="/word/footer2.xml" ContentType="application/vnd.openxmlformats-officedocument.wordprocessingml.footer+xml"/>
  <Override PartName="/word/styles.xml" ContentType="application/vnd.openxmlformats-officedocument.wordprocessingml.styles+xml"/>
  <Override PartName="/docProps/app.xml" ContentType="application/vnd.openxmlformats-officedocument.extended-properties+xml"/>
</Types>
</file>

<file path=_rels/.rels><?xml version="1.0" encoding="UTF-8"?>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mc:Ignorable="w14 wp14">
  <w:body>
    <w:p>
      <w:pPr>
        <w:pStyle w:val="style0"/>
        <w:rPr/>
      </w:pPr>
    </w:p>
    <w:tbl>
      <w:tblPr>
        <w:tblStyle w:val="style154"/>
        <w:tblW w:w="83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trPr>
          <w:trHeight w:val="720" w:hRule="atLeast"/>
        </w:trPr>
        <w:tc>
          <w:tcPr>
            <w:tcW w:w="8311" w:type="dxa"/>
            <w:tcBorders/>
          </w:tcPr>
          <w:p>
            <w:pPr>
              <w:pStyle w:val="style0"/>
              <w:jc w:val="center"/>
              <w:rPr>
                <w:rFonts w:ascii="Calibri Light" w:cs="Calibri Light" w:hAnsi="Calibri Light"/>
                <w:sz w:val="52"/>
                <w:szCs w:val="52"/>
              </w:rPr>
            </w:pPr>
            <w:r>
              <w:br w:type="page"/>
            </w:r>
            <w:r>
              <w:rPr>
                <w:rFonts w:ascii="Calibri Light" w:cs="Calibri Light" w:hAnsi="Calibri Light"/>
                <w:noProof/>
                <w:sz w:val="40"/>
                <w:szCs w:val="40"/>
              </w:rPr>
              <w:drawing>
                <wp:inline distL="0" distT="0" distB="0" distR="0">
                  <wp:extent cx="1219200" cy="1496623"/>
                  <wp:effectExtent l="0" t="0" r="0" b="8890"/>
                  <wp:docPr id="1026" name="Εικόνα 2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0" name="Εικόνα 24"/>
                          <pic:cNvPicPr/>
                        </pic:nvPicPr>
                        <pic:blipFill>
                          <a:blip r:embed="rId2" cstate="print"/>
                          <a:srcRect l="0" t="0" r="0" b="0"/>
                          <a:stretch/>
                        </pic:blipFill>
                        <pic:spPr>
                          <a:xfrm rot="0">
                            <a:off x="0" y="0"/>
                            <a:ext cx="1219200" cy="1496623"/>
                          </a:xfrm>
                          <a:prstGeom prst="rect"/>
                        </pic:spPr>
                      </pic:pic>
                    </a:graphicData>
                  </a:graphic>
                </wp:inline>
              </w:drawing>
            </w:r>
          </w:p>
        </w:tc>
      </w:tr>
      <w:tr>
        <w:tblPrEx/>
        <w:trPr>
          <w:trHeight w:val="720" w:hRule="atLeast"/>
        </w:trPr>
        <w:tc>
          <w:tcPr>
            <w:tcW w:w="8311" w:type="dxa"/>
            <w:tcBorders/>
          </w:tcPr>
          <w:p>
            <w:pPr>
              <w:pStyle w:val="style0"/>
              <w:jc w:val="center"/>
              <w:rPr>
                <w:rFonts w:ascii="Calibri Light" w:cs="Calibri Light" w:hAnsi="Calibri Light"/>
                <w:b/>
                <w:bCs/>
                <w:sz w:val="48"/>
                <w:szCs w:val="48"/>
              </w:rPr>
            </w:pPr>
            <w:r>
              <w:rPr>
                <w:rFonts w:ascii="Calibri Light" w:cs="Calibri Light" w:hAnsi="Calibri Light"/>
                <w:b/>
                <w:bCs/>
                <w:sz w:val="48"/>
                <w:szCs w:val="48"/>
              </w:rPr>
              <w:t>Πολυτεχνείο Κρήτης</w:t>
            </w:r>
          </w:p>
        </w:tc>
      </w:tr>
      <w:tr>
        <w:tblPrEx/>
        <w:trPr>
          <w:trHeight w:val="3060" w:hRule="atLeast"/>
        </w:trPr>
        <w:tc>
          <w:tcPr>
            <w:tcW w:w="8311" w:type="dxa"/>
            <w:tcBorders/>
          </w:tcPr>
          <w:p>
            <w:pPr>
              <w:pStyle w:val="style0"/>
              <w:jc w:val="center"/>
              <w:rPr>
                <w:rFonts w:ascii="Calibri Light" w:cs="Calibri Light" w:hAnsi="Calibri Light"/>
                <w:b/>
                <w:bCs/>
                <w:sz w:val="40"/>
                <w:szCs w:val="40"/>
              </w:rPr>
            </w:pPr>
            <w:r>
              <w:rPr>
                <w:rFonts w:ascii="Calibri Light" w:cs="Calibri Light" w:hAnsi="Calibri Light"/>
                <w:b/>
                <w:bCs/>
                <w:sz w:val="40"/>
                <w:szCs w:val="40"/>
              </w:rPr>
              <w:t>Τμήμα μηχανικών παραγωγής και διοίκησης</w:t>
            </w:r>
          </w:p>
          <w:p>
            <w:pPr>
              <w:pStyle w:val="style0"/>
              <w:jc w:val="center"/>
              <w:rPr>
                <w:rFonts w:ascii="Calibri Light" w:cs="Calibri Light" w:hAnsi="Calibri Light"/>
                <w:b/>
                <w:bCs/>
                <w:sz w:val="40"/>
                <w:szCs w:val="40"/>
              </w:rPr>
            </w:pPr>
          </w:p>
          <w:p>
            <w:pPr>
              <w:pStyle w:val="style0"/>
              <w:jc w:val="center"/>
              <w:rPr>
                <w:rFonts w:ascii="Calibri Light" w:cs="Calibri Light" w:hAnsi="Calibri Light"/>
                <w:b/>
                <w:bCs/>
                <w:sz w:val="40"/>
                <w:szCs w:val="40"/>
              </w:rPr>
            </w:pPr>
          </w:p>
          <w:p>
            <w:pPr>
              <w:pStyle w:val="style0"/>
              <w:jc w:val="center"/>
              <w:rPr>
                <w:rFonts w:ascii="Calibri Light" w:cs="Calibri Light" w:hAnsi="Calibri Light"/>
                <w:b/>
                <w:bCs/>
                <w:sz w:val="40"/>
                <w:szCs w:val="40"/>
              </w:rPr>
            </w:pPr>
          </w:p>
          <w:p>
            <w:pPr>
              <w:pStyle w:val="style0"/>
              <w:jc w:val="center"/>
              <w:rPr>
                <w:rFonts w:ascii="Calibri Light" w:cs="Calibri Light" w:hAnsi="Calibri Light"/>
                <w:b/>
                <w:bCs/>
                <w:sz w:val="40"/>
                <w:szCs w:val="40"/>
              </w:rPr>
            </w:pPr>
          </w:p>
          <w:p>
            <w:pPr>
              <w:pStyle w:val="style0"/>
              <w:jc w:val="center"/>
              <w:rPr>
                <w:rFonts w:ascii="Calibri Light" w:cs="Calibri Light" w:hAnsi="Calibri Light"/>
                <w:b/>
                <w:bCs/>
                <w:sz w:val="40"/>
                <w:szCs w:val="40"/>
              </w:rPr>
            </w:pPr>
            <w:r>
              <w:rPr>
                <w:rFonts w:ascii="Calibri Light" w:cs="Calibri Light" w:hAnsi="Calibri Light"/>
                <w:b/>
                <w:bCs/>
                <w:sz w:val="40"/>
                <w:szCs w:val="40"/>
              </w:rPr>
              <w:t>Διπλωματική Εργασία</w:t>
            </w:r>
          </w:p>
        </w:tc>
      </w:tr>
      <w:tr>
        <w:tblPrEx/>
        <w:trPr>
          <w:trHeight w:val="2754" w:hRule="atLeast"/>
        </w:trPr>
        <w:tc>
          <w:tcPr>
            <w:tcW w:w="8311" w:type="dxa"/>
            <w:tcBorders/>
          </w:tcPr>
          <w:p>
            <w:pPr>
              <w:pStyle w:val="style0"/>
              <w:tabs>
                <w:tab w:val="left" w:leader="none" w:pos="4500"/>
              </w:tabs>
              <w:jc w:val="center"/>
              <w:rPr>
                <w:rFonts w:ascii="Calibri Light" w:cs="Calibri Light" w:hAnsi="Calibri Light"/>
                <w:sz w:val="52"/>
                <w:szCs w:val="52"/>
              </w:rPr>
            </w:pPr>
            <w:r>
              <w:rPr>
                <w:rFonts w:ascii="Calibri Light" w:cs="Calibri Light" w:eastAsia="宋体" w:hAnsi="Calibri Light"/>
                <w:sz w:val="52"/>
                <w:szCs w:val="52"/>
              </w:rPr>
              <w:t>Εύρεση ζώνης χασμάτων στη διάδοση κυμάτων σε τετραχειρόμορφες μικροδομές  αυξητικών υλικών με χρήση πεπερασμένων στοιχείων</w:t>
            </w:r>
          </w:p>
        </w:tc>
      </w:tr>
      <w:tr>
        <w:tblPrEx/>
        <w:trPr>
          <w:trHeight w:val="2853" w:hRule="atLeast"/>
        </w:trPr>
        <w:tc>
          <w:tcPr>
            <w:tcW w:w="8311" w:type="dxa"/>
            <w:tcBorders/>
          </w:tcPr>
          <w:p>
            <w:pPr>
              <w:pStyle w:val="style0"/>
              <w:tabs>
                <w:tab w:val="left" w:leader="none" w:pos="3420"/>
              </w:tabs>
              <w:jc w:val="center"/>
              <w:rPr>
                <w:rFonts w:ascii="Calibri Light" w:cs="Calibri Light" w:hAnsi="Calibri Light"/>
                <w:sz w:val="40"/>
                <w:szCs w:val="40"/>
              </w:rPr>
            </w:pPr>
          </w:p>
          <w:p>
            <w:pPr>
              <w:pStyle w:val="style0"/>
              <w:tabs>
                <w:tab w:val="left" w:leader="none" w:pos="3420"/>
              </w:tabs>
              <w:jc w:val="center"/>
              <w:rPr>
                <w:rFonts w:ascii="Calibri Light" w:cs="Calibri Light" w:hAnsi="Calibri Light"/>
                <w:sz w:val="40"/>
                <w:szCs w:val="40"/>
                <w:lang w:val="en-US"/>
              </w:rPr>
            </w:pPr>
            <w:r>
              <w:rPr>
                <w:rFonts w:ascii="Calibri Light" w:cs="Calibri Light" w:hAnsi="Calibri Light"/>
                <w:sz w:val="40"/>
                <w:szCs w:val="40"/>
                <w:lang w:val="en-US"/>
              </w:rPr>
              <w:t xml:space="preserve">Band gap analysis on tetrachiral auxetic microstructures using finite </w:t>
            </w:r>
            <w:r>
              <w:rPr>
                <w:rFonts w:ascii="Calibri Light" w:cs="Calibri Light" w:hAnsi="Calibri Light"/>
                <w:sz w:val="40"/>
                <w:szCs w:val="40"/>
                <w:lang w:val="en-US"/>
              </w:rPr>
              <w:t>elements</w:t>
            </w:r>
          </w:p>
          <w:p>
            <w:pPr>
              <w:pStyle w:val="style0"/>
              <w:tabs>
                <w:tab w:val="left" w:leader="none" w:pos="2265"/>
              </w:tabs>
              <w:jc w:val="center"/>
              <w:rPr>
                <w:rFonts w:ascii="Calibri Light" w:cs="Calibri Light" w:hAnsi="Calibri Light"/>
                <w:lang w:val="en-US"/>
              </w:rPr>
            </w:pPr>
          </w:p>
        </w:tc>
      </w:tr>
      <w:tr>
        <w:tblPrEx/>
        <w:trPr>
          <w:trHeight w:val="540" w:hRule="atLeast"/>
        </w:trPr>
        <w:tc>
          <w:tcPr>
            <w:tcW w:w="8311" w:type="dxa"/>
            <w:tcBorders/>
          </w:tcPr>
          <w:p>
            <w:pPr>
              <w:pStyle w:val="style0"/>
              <w:jc w:val="center"/>
              <w:rPr>
                <w:rFonts w:ascii="Calibri Light" w:cs="Calibri Light" w:hAnsi="Calibri Light"/>
                <w:sz w:val="32"/>
                <w:szCs w:val="32"/>
                <w:lang w:val="en-US"/>
              </w:rPr>
            </w:pPr>
            <w:r>
              <w:rPr>
                <w:rFonts w:ascii="Calibri Light" w:cs="Calibri Light" w:hAnsi="Calibri Light"/>
                <w:sz w:val="32"/>
                <w:szCs w:val="32"/>
                <w:lang w:val="en-US"/>
              </w:rPr>
              <w:t xml:space="preserve">Κούγκουλος </w:t>
            </w:r>
            <w:r>
              <w:rPr>
                <w:rFonts w:ascii="Calibri Light" w:cs="Calibri Light" w:hAnsi="Calibri Light"/>
                <w:sz w:val="32"/>
                <w:szCs w:val="32"/>
                <w:lang w:val="en-US"/>
              </w:rPr>
              <w:t>Αλέξ</w:t>
            </w:r>
            <w:r>
              <w:rPr>
                <w:rFonts w:ascii="Calibri Light" w:cs="Calibri Light" w:hAnsi="Calibri Light"/>
                <w:sz w:val="32"/>
                <w:szCs w:val="32"/>
                <w:lang w:val="en-US"/>
              </w:rPr>
              <w:t>ανδρος Α.Μ. 2011010127</w:t>
            </w:r>
          </w:p>
        </w:tc>
      </w:tr>
      <w:tr>
        <w:tblPrEx/>
        <w:trPr>
          <w:trHeight w:val="675" w:hRule="atLeast"/>
        </w:trPr>
        <w:tc>
          <w:tcPr>
            <w:tcW w:w="8311" w:type="dxa"/>
            <w:tcBorders/>
          </w:tcPr>
          <w:p>
            <w:pPr>
              <w:pStyle w:val="style0"/>
              <w:jc w:val="center"/>
              <w:rPr>
                <w:rFonts w:ascii="Calibri Light" w:cs="Calibri Light" w:hAnsi="Calibri Light"/>
                <w:sz w:val="32"/>
                <w:szCs w:val="32"/>
                <w:lang w:val="en-US"/>
              </w:rPr>
            </w:pPr>
            <w:r>
              <w:rPr>
                <w:rFonts w:ascii="Calibri Light" w:cs="Calibri Light" w:hAnsi="Calibri Light"/>
                <w:sz w:val="32"/>
                <w:szCs w:val="32"/>
                <w:lang w:val="en-US"/>
              </w:rPr>
              <w:t>Επιβ</w:t>
            </w:r>
            <w:r>
              <w:rPr>
                <w:rFonts w:ascii="Calibri Light" w:cs="Calibri Light" w:hAnsi="Calibri Light"/>
                <w:sz w:val="32"/>
                <w:szCs w:val="32"/>
                <w:lang w:val="en-US"/>
              </w:rPr>
              <w:t>λέ</w:t>
            </w:r>
            <w:r>
              <w:rPr>
                <w:rFonts w:ascii="Calibri Light" w:cs="Calibri Light" w:hAnsi="Calibri Light"/>
                <w:sz w:val="32"/>
                <w:szCs w:val="32"/>
                <w:lang w:val="en-US"/>
              </w:rPr>
              <w:t>πων κα</w:t>
            </w:r>
            <w:r>
              <w:rPr>
                <w:rFonts w:ascii="Calibri Light" w:cs="Calibri Light" w:hAnsi="Calibri Light"/>
                <w:sz w:val="32"/>
                <w:szCs w:val="32"/>
                <w:lang w:val="en-US"/>
              </w:rPr>
              <w:t>θηγητής</w:t>
            </w:r>
            <w:r>
              <w:rPr>
                <w:rFonts w:ascii="Calibri Light" w:cs="Calibri Light" w:hAnsi="Calibri Light"/>
                <w:sz w:val="32"/>
                <w:szCs w:val="32"/>
                <w:lang w:val="en-US"/>
              </w:rPr>
              <w:t xml:space="preserve">: </w:t>
            </w:r>
            <w:r>
              <w:rPr>
                <w:rFonts w:ascii="Calibri Light" w:cs="Calibri Light" w:hAnsi="Calibri Light"/>
                <w:sz w:val="32"/>
                <w:szCs w:val="32"/>
                <w:lang w:val="en-US"/>
              </w:rPr>
              <w:t>Στ</w:t>
            </w:r>
            <w:r>
              <w:rPr>
                <w:rFonts w:ascii="Calibri Light" w:cs="Calibri Light" w:hAnsi="Calibri Light"/>
                <w:sz w:val="32"/>
                <w:szCs w:val="32"/>
                <w:lang w:val="en-US"/>
              </w:rPr>
              <w:t xml:space="preserve">αυρουλάκης </w:t>
            </w:r>
            <w:r>
              <w:rPr>
                <w:rFonts w:ascii="Calibri Light" w:cs="Calibri Light" w:hAnsi="Calibri Light"/>
                <w:sz w:val="32"/>
                <w:szCs w:val="32"/>
                <w:lang w:val="en-US"/>
              </w:rPr>
              <w:t>Γεώργιος</w:t>
            </w:r>
          </w:p>
          <w:p>
            <w:pPr>
              <w:pStyle w:val="style0"/>
              <w:jc w:val="center"/>
              <w:rPr>
                <w:rFonts w:ascii="Calibri Light" w:cs="Calibri Light" w:hAnsi="Calibri Light"/>
                <w:sz w:val="32"/>
                <w:szCs w:val="32"/>
                <w:lang w:val="en-US"/>
              </w:rPr>
            </w:pPr>
            <w:r>
              <w:rPr>
                <w:rFonts w:ascii="Calibri Light" w:cs="Calibri Light" w:hAnsi="Calibri Light"/>
                <w:sz w:val="32"/>
                <w:szCs w:val="32"/>
                <w:lang w:val="en-US"/>
              </w:rPr>
              <w:t>Χανιά</w:t>
            </w:r>
            <w:r>
              <w:rPr>
                <w:rFonts w:cs="Calibri Light" w:hAnsi="Calibri Light"/>
                <w:sz w:val="32"/>
                <w:szCs w:val="32"/>
                <w:lang w:val="en-US"/>
              </w:rPr>
              <w:t>, 2021</w:t>
            </w:r>
          </w:p>
        </w:tc>
      </w:tr>
    </w:tbl>
    <w:p>
      <w:pPr>
        <w:pStyle w:val="style0"/>
        <w:rPr>
          <w:lang w:val="en-US"/>
        </w:rPr>
      </w:pPr>
    </w:p>
    <w:p>
      <w:pPr>
        <w:pStyle w:val="style0"/>
        <w:rPr/>
      </w:pPr>
    </w:p>
    <w:p>
      <w:pPr>
        <w:pStyle w:val="style0"/>
        <w:rPr/>
      </w:pPr>
    </w:p>
    <w:p>
      <w:pPr>
        <w:pStyle w:val="style0"/>
        <w:rPr/>
      </w:pPr>
    </w:p>
    <w:p>
      <w:pPr>
        <w:pStyle w:val="style0"/>
        <w:rPr/>
      </w:pPr>
      <w:r>
        <w:br w:type="page"/>
      </w:r>
    </w:p>
    <w:bookmarkStart w:id="0" w:name="_Toc66524587"/>
    <w:p>
      <w:pPr>
        <w:pStyle w:val="style266"/>
        <w:rPr/>
      </w:pPr>
      <w:r>
        <w:t>Πίνακας περιεχομένων</w:t>
      </w:r>
    </w:p>
    <w:p>
      <w:pPr>
        <w:pStyle w:val="style19"/>
        <w:tabs>
          <w:tab w:val="right" w:leader="dot" w:pos="8296"/>
        </w:tabs>
        <w:rPr>
          <w:rFonts w:eastAsia="宋体"/>
          <w:noProof/>
          <w:lang w:eastAsia="el-GR"/>
        </w:rPr>
      </w:pPr>
      <w:r>
        <w:rPr/>
        <w:fldChar w:fldCharType="begin"/>
      </w:r>
      <w:r>
        <w:instrText xml:space="preserve"> TOC \o "1-3" \h \z \u </w:instrText>
      </w:r>
      <w:r>
        <w:rPr/>
        <w:fldChar w:fldCharType="separate"/>
      </w:r>
      <w:r>
        <w:rPr/>
        <w:fldChar w:fldCharType="begin"/>
      </w:r>
      <w:r>
        <w:instrText xml:space="preserve"> HYPERLINK \l "_Toc77270417" </w:instrText>
      </w:r>
      <w:r>
        <w:rPr/>
        <w:fldChar w:fldCharType="separate"/>
      </w:r>
      <w:r>
        <w:rPr>
          <w:rStyle w:val="style85"/>
          <w:noProof/>
        </w:rPr>
        <w:t>Ευχαριστίες</w:t>
      </w:r>
      <w:r>
        <w:rPr>
          <w:noProof/>
          <w:webHidden/>
        </w:rPr>
        <w:tab/>
      </w:r>
      <w:r>
        <w:rPr>
          <w:noProof/>
          <w:webHidden/>
        </w:rPr>
        <w:fldChar w:fldCharType="begin"/>
      </w:r>
      <w:r>
        <w:rPr>
          <w:noProof/>
          <w:webHidden/>
        </w:rPr>
        <w:instrText xml:space="preserve"> PAGEREF _Toc77270417 \h </w:instrText>
      </w:r>
      <w:r>
        <w:rPr>
          <w:noProof/>
          <w:webHidden/>
        </w:rPr>
        <w:fldChar w:fldCharType="separate"/>
      </w:r>
      <w:r>
        <w:rPr>
          <w:noProof/>
          <w:webHidden/>
        </w:rPr>
        <w:t>4</w:t>
      </w:r>
      <w:r>
        <w:rPr>
          <w:noProof/>
          <w:webHidden/>
        </w:rPr>
        <w:fldChar w:fldCharType="end"/>
      </w:r>
      <w:r>
        <w:rPr/>
        <w:fldChar w:fldCharType="end"/>
      </w:r>
    </w:p>
    <w:p>
      <w:pPr>
        <w:pStyle w:val="style19"/>
        <w:tabs>
          <w:tab w:val="right" w:leader="dot" w:pos="8296"/>
        </w:tabs>
        <w:rPr>
          <w:rFonts w:eastAsia="宋体"/>
          <w:noProof/>
          <w:lang w:eastAsia="el-GR"/>
        </w:rPr>
      </w:pPr>
      <w:r>
        <w:rPr/>
        <w:fldChar w:fldCharType="begin"/>
      </w:r>
      <w:r>
        <w:instrText xml:space="preserve"> HYPERLINK \l "_Toc77270418" </w:instrText>
      </w:r>
      <w:r>
        <w:rPr/>
        <w:fldChar w:fldCharType="separate"/>
      </w:r>
      <w:r>
        <w:rPr>
          <w:rStyle w:val="style85"/>
          <w:noProof/>
        </w:rPr>
        <w:t>Περίληψη</w:t>
      </w:r>
      <w:r>
        <w:rPr>
          <w:noProof/>
          <w:webHidden/>
        </w:rPr>
        <w:tab/>
      </w:r>
      <w:r>
        <w:rPr>
          <w:noProof/>
          <w:webHidden/>
        </w:rPr>
        <w:fldChar w:fldCharType="begin"/>
      </w:r>
      <w:r>
        <w:rPr>
          <w:noProof/>
          <w:webHidden/>
        </w:rPr>
        <w:instrText xml:space="preserve"> PAGEREF _Toc77270418 \h </w:instrText>
      </w:r>
      <w:r>
        <w:rPr>
          <w:noProof/>
          <w:webHidden/>
        </w:rPr>
        <w:fldChar w:fldCharType="separate"/>
      </w:r>
      <w:r>
        <w:rPr>
          <w:noProof/>
          <w:webHidden/>
        </w:rPr>
        <w:t>5</w:t>
      </w:r>
      <w:r>
        <w:rPr>
          <w:noProof/>
          <w:webHidden/>
        </w:rPr>
        <w:fldChar w:fldCharType="end"/>
      </w:r>
      <w:r>
        <w:rPr/>
        <w:fldChar w:fldCharType="end"/>
      </w:r>
    </w:p>
    <w:p>
      <w:pPr>
        <w:pStyle w:val="style19"/>
        <w:tabs>
          <w:tab w:val="right" w:leader="dot" w:pos="8296"/>
        </w:tabs>
        <w:rPr>
          <w:rFonts w:eastAsia="宋体"/>
          <w:noProof/>
          <w:lang w:eastAsia="el-GR"/>
        </w:rPr>
      </w:pPr>
      <w:r>
        <w:rPr/>
        <w:fldChar w:fldCharType="begin"/>
      </w:r>
      <w:r>
        <w:instrText xml:space="preserve"> HYPERLINK \l "_Toc77270419" </w:instrText>
      </w:r>
      <w:r>
        <w:rPr/>
        <w:fldChar w:fldCharType="separate"/>
      </w:r>
      <w:r>
        <w:rPr>
          <w:rStyle w:val="style85"/>
          <w:noProof/>
          <w:lang w:val="en-US"/>
        </w:rPr>
        <w:t>Abstract</w:t>
      </w:r>
      <w:r>
        <w:rPr>
          <w:noProof/>
          <w:webHidden/>
        </w:rPr>
        <w:tab/>
      </w:r>
      <w:r>
        <w:rPr>
          <w:noProof/>
          <w:webHidden/>
        </w:rPr>
        <w:fldChar w:fldCharType="begin"/>
      </w:r>
      <w:r>
        <w:rPr>
          <w:noProof/>
          <w:webHidden/>
        </w:rPr>
        <w:instrText xml:space="preserve"> PAGEREF _Toc77270419 \h </w:instrText>
      </w:r>
      <w:r>
        <w:rPr>
          <w:noProof/>
          <w:webHidden/>
        </w:rPr>
        <w:fldChar w:fldCharType="separate"/>
      </w:r>
      <w:r>
        <w:rPr>
          <w:noProof/>
          <w:webHidden/>
        </w:rPr>
        <w:t>5</w:t>
      </w:r>
      <w:r>
        <w:rPr>
          <w:noProof/>
          <w:webHidden/>
        </w:rPr>
        <w:fldChar w:fldCharType="end"/>
      </w:r>
      <w:r>
        <w:rPr/>
        <w:fldChar w:fldCharType="end"/>
      </w:r>
    </w:p>
    <w:p>
      <w:pPr>
        <w:pStyle w:val="style19"/>
        <w:tabs>
          <w:tab w:val="right" w:leader="dot" w:pos="8296"/>
        </w:tabs>
        <w:rPr>
          <w:rFonts w:eastAsia="宋体"/>
          <w:noProof/>
          <w:lang w:eastAsia="el-GR"/>
        </w:rPr>
      </w:pPr>
      <w:r>
        <w:rPr/>
        <w:fldChar w:fldCharType="begin"/>
      </w:r>
      <w:r>
        <w:instrText xml:space="preserve"> HYPERLINK \l "_Toc77270420" </w:instrText>
      </w:r>
      <w:r>
        <w:rPr/>
        <w:fldChar w:fldCharType="separate"/>
      </w:r>
      <w:r>
        <w:rPr>
          <w:rStyle w:val="style85"/>
          <w:noProof/>
        </w:rPr>
        <w:t>Κεφάλαιο 1 – Γενικά</w:t>
      </w:r>
      <w:r>
        <w:rPr>
          <w:noProof/>
          <w:webHidden/>
        </w:rPr>
        <w:tab/>
      </w:r>
      <w:r>
        <w:rPr>
          <w:noProof/>
          <w:webHidden/>
        </w:rPr>
        <w:fldChar w:fldCharType="begin"/>
      </w:r>
      <w:r>
        <w:rPr>
          <w:noProof/>
          <w:webHidden/>
        </w:rPr>
        <w:instrText xml:space="preserve"> PAGEREF _Toc77270420 \h </w:instrText>
      </w:r>
      <w:r>
        <w:rPr>
          <w:noProof/>
          <w:webHidden/>
        </w:rPr>
        <w:fldChar w:fldCharType="separate"/>
      </w:r>
      <w:r>
        <w:rPr>
          <w:noProof/>
          <w:webHidden/>
        </w:rPr>
        <w:t>6</w:t>
      </w:r>
      <w:r>
        <w:rPr>
          <w:noProof/>
          <w:webHidden/>
        </w:rPr>
        <w:fldChar w:fldCharType="end"/>
      </w:r>
      <w:r>
        <w:rPr/>
        <w:fldChar w:fldCharType="end"/>
      </w:r>
    </w:p>
    <w:p>
      <w:pPr>
        <w:pStyle w:val="style20"/>
        <w:tabs>
          <w:tab w:val="right" w:leader="dot" w:pos="8296"/>
        </w:tabs>
        <w:rPr>
          <w:rFonts w:eastAsia="宋体"/>
          <w:noProof/>
          <w:lang w:eastAsia="el-GR"/>
        </w:rPr>
      </w:pPr>
      <w:r>
        <w:rPr/>
        <w:fldChar w:fldCharType="begin"/>
      </w:r>
      <w:r>
        <w:instrText xml:space="preserve"> HYPERLINK \l "_Toc77270421" </w:instrText>
      </w:r>
      <w:r>
        <w:rPr/>
        <w:fldChar w:fldCharType="separate"/>
      </w:r>
      <w:r>
        <w:rPr>
          <w:rStyle w:val="style85"/>
          <w:noProof/>
        </w:rPr>
        <w:t>Εισαγωγή</w:t>
      </w:r>
      <w:r>
        <w:rPr>
          <w:noProof/>
          <w:webHidden/>
        </w:rPr>
        <w:tab/>
      </w:r>
      <w:r>
        <w:rPr>
          <w:noProof/>
          <w:webHidden/>
        </w:rPr>
        <w:fldChar w:fldCharType="begin"/>
      </w:r>
      <w:r>
        <w:rPr>
          <w:noProof/>
          <w:webHidden/>
        </w:rPr>
        <w:instrText xml:space="preserve"> PAGEREF _Toc77270421 \h </w:instrText>
      </w:r>
      <w:r>
        <w:rPr>
          <w:noProof/>
          <w:webHidden/>
        </w:rPr>
        <w:fldChar w:fldCharType="separate"/>
      </w:r>
      <w:r>
        <w:rPr>
          <w:noProof/>
          <w:webHidden/>
        </w:rPr>
        <w:t>6</w:t>
      </w:r>
      <w:r>
        <w:rPr>
          <w:noProof/>
          <w:webHidden/>
        </w:rPr>
        <w:fldChar w:fldCharType="end"/>
      </w:r>
      <w:r>
        <w:rPr/>
        <w:fldChar w:fldCharType="end"/>
      </w:r>
    </w:p>
    <w:p>
      <w:pPr>
        <w:pStyle w:val="style20"/>
        <w:tabs>
          <w:tab w:val="right" w:leader="dot" w:pos="8296"/>
        </w:tabs>
        <w:rPr>
          <w:rFonts w:eastAsia="宋体"/>
          <w:noProof/>
          <w:lang w:eastAsia="el-GR"/>
        </w:rPr>
      </w:pPr>
      <w:r>
        <w:rPr/>
        <w:fldChar w:fldCharType="begin"/>
      </w:r>
      <w:r>
        <w:instrText xml:space="preserve"> HYPERLINK \l "_Toc77270422" </w:instrText>
      </w:r>
      <w:r>
        <w:rPr/>
        <w:fldChar w:fldCharType="separate"/>
      </w:r>
      <w:r>
        <w:rPr>
          <w:rStyle w:val="style85"/>
          <w:noProof/>
        </w:rPr>
        <w:t>Σκοπός εργασίας</w:t>
      </w:r>
      <w:r>
        <w:rPr>
          <w:noProof/>
          <w:webHidden/>
        </w:rPr>
        <w:tab/>
      </w:r>
      <w:r>
        <w:rPr>
          <w:noProof/>
          <w:webHidden/>
        </w:rPr>
        <w:fldChar w:fldCharType="begin"/>
      </w:r>
      <w:r>
        <w:rPr>
          <w:noProof/>
          <w:webHidden/>
        </w:rPr>
        <w:instrText xml:space="preserve"> PAGEREF _Toc77270422 \h </w:instrText>
      </w:r>
      <w:r>
        <w:rPr>
          <w:noProof/>
          <w:webHidden/>
        </w:rPr>
        <w:fldChar w:fldCharType="separate"/>
      </w:r>
      <w:r>
        <w:rPr>
          <w:noProof/>
          <w:webHidden/>
        </w:rPr>
        <w:t>7</w:t>
      </w:r>
      <w:r>
        <w:rPr>
          <w:noProof/>
          <w:webHidden/>
        </w:rPr>
        <w:fldChar w:fldCharType="end"/>
      </w:r>
      <w:r>
        <w:rPr/>
        <w:fldChar w:fldCharType="end"/>
      </w:r>
    </w:p>
    <w:p>
      <w:pPr>
        <w:pStyle w:val="style19"/>
        <w:tabs>
          <w:tab w:val="right" w:leader="dot" w:pos="8296"/>
        </w:tabs>
        <w:rPr>
          <w:rFonts w:eastAsia="宋体"/>
          <w:noProof/>
          <w:lang w:eastAsia="el-GR"/>
        </w:rPr>
      </w:pPr>
      <w:r>
        <w:rPr/>
        <w:fldChar w:fldCharType="begin"/>
      </w:r>
      <w:r>
        <w:instrText xml:space="preserve"> HYPERLINK \l "_Toc77270423" </w:instrText>
      </w:r>
      <w:r>
        <w:rPr/>
        <w:fldChar w:fldCharType="separate"/>
      </w:r>
      <w:r>
        <w:rPr>
          <w:rStyle w:val="style85"/>
          <w:noProof/>
        </w:rPr>
        <w:t>Κεφάλαιο 2 – Αυξητικά υλικά</w:t>
      </w:r>
      <w:r>
        <w:rPr>
          <w:noProof/>
          <w:webHidden/>
        </w:rPr>
        <w:tab/>
      </w:r>
      <w:r>
        <w:rPr>
          <w:noProof/>
          <w:webHidden/>
        </w:rPr>
        <w:fldChar w:fldCharType="begin"/>
      </w:r>
      <w:r>
        <w:rPr>
          <w:noProof/>
          <w:webHidden/>
        </w:rPr>
        <w:instrText xml:space="preserve"> PAGEREF _Toc77270423 \h </w:instrText>
      </w:r>
      <w:r>
        <w:rPr>
          <w:noProof/>
          <w:webHidden/>
        </w:rPr>
        <w:fldChar w:fldCharType="separate"/>
      </w:r>
      <w:r>
        <w:rPr>
          <w:noProof/>
          <w:webHidden/>
        </w:rPr>
        <w:t>8</w:t>
      </w:r>
      <w:r>
        <w:rPr>
          <w:noProof/>
          <w:webHidden/>
        </w:rPr>
        <w:fldChar w:fldCharType="end"/>
      </w:r>
      <w:r>
        <w:rPr/>
        <w:fldChar w:fldCharType="end"/>
      </w:r>
    </w:p>
    <w:p>
      <w:pPr>
        <w:pStyle w:val="style20"/>
        <w:tabs>
          <w:tab w:val="right" w:leader="dot" w:pos="8296"/>
        </w:tabs>
        <w:rPr>
          <w:rFonts w:eastAsia="宋体"/>
          <w:noProof/>
          <w:lang w:eastAsia="el-GR"/>
        </w:rPr>
      </w:pPr>
      <w:r>
        <w:rPr/>
        <w:fldChar w:fldCharType="begin"/>
      </w:r>
      <w:r>
        <w:instrText xml:space="preserve"> HYPERLINK \l "_Toc77270424" </w:instrText>
      </w:r>
      <w:r>
        <w:rPr/>
        <w:fldChar w:fldCharType="separate"/>
      </w:r>
      <w:r>
        <w:rPr>
          <w:rStyle w:val="style85"/>
          <w:noProof/>
        </w:rPr>
        <w:t>Γενική περιγραφή</w:t>
      </w:r>
      <w:r>
        <w:rPr>
          <w:noProof/>
          <w:webHidden/>
        </w:rPr>
        <w:tab/>
      </w:r>
      <w:r>
        <w:rPr>
          <w:noProof/>
          <w:webHidden/>
        </w:rPr>
        <w:fldChar w:fldCharType="begin"/>
      </w:r>
      <w:r>
        <w:rPr>
          <w:noProof/>
          <w:webHidden/>
        </w:rPr>
        <w:instrText xml:space="preserve"> PAGEREF _Toc77270424 \h </w:instrText>
      </w:r>
      <w:r>
        <w:rPr>
          <w:noProof/>
          <w:webHidden/>
        </w:rPr>
        <w:fldChar w:fldCharType="separate"/>
      </w:r>
      <w:r>
        <w:rPr>
          <w:noProof/>
          <w:webHidden/>
        </w:rPr>
        <w:t>8</w:t>
      </w:r>
      <w:r>
        <w:rPr>
          <w:noProof/>
          <w:webHidden/>
        </w:rPr>
        <w:fldChar w:fldCharType="end"/>
      </w:r>
      <w:r>
        <w:rPr/>
        <w:fldChar w:fldCharType="end"/>
      </w:r>
    </w:p>
    <w:p>
      <w:pPr>
        <w:pStyle w:val="style20"/>
        <w:tabs>
          <w:tab w:val="right" w:leader="dot" w:pos="8296"/>
        </w:tabs>
        <w:rPr>
          <w:rFonts w:eastAsia="宋体"/>
          <w:noProof/>
          <w:lang w:eastAsia="el-GR"/>
        </w:rPr>
      </w:pPr>
      <w:r>
        <w:rPr/>
        <w:fldChar w:fldCharType="begin"/>
      </w:r>
      <w:r>
        <w:instrText xml:space="preserve"> HYPERLINK \l "_Toc77270425" </w:instrText>
      </w:r>
      <w:r>
        <w:rPr/>
        <w:fldChar w:fldCharType="separate"/>
      </w:r>
      <w:r>
        <w:rPr>
          <w:rStyle w:val="style85"/>
          <w:noProof/>
        </w:rPr>
        <w:t xml:space="preserve">Αρνητικός λόγος </w:t>
      </w:r>
      <w:r>
        <w:rPr>
          <w:rStyle w:val="style85"/>
          <w:noProof/>
          <w:lang w:val="en-US"/>
        </w:rPr>
        <w:t>Poisson</w:t>
      </w:r>
      <w:r>
        <w:rPr>
          <w:noProof/>
          <w:webHidden/>
        </w:rPr>
        <w:tab/>
      </w:r>
      <w:r>
        <w:rPr>
          <w:noProof/>
          <w:webHidden/>
        </w:rPr>
        <w:fldChar w:fldCharType="begin"/>
      </w:r>
      <w:r>
        <w:rPr>
          <w:noProof/>
          <w:webHidden/>
        </w:rPr>
        <w:instrText xml:space="preserve"> PAGEREF _Toc77270425 \h </w:instrText>
      </w:r>
      <w:r>
        <w:rPr>
          <w:noProof/>
          <w:webHidden/>
        </w:rPr>
        <w:fldChar w:fldCharType="separate"/>
      </w:r>
      <w:r>
        <w:rPr>
          <w:noProof/>
          <w:webHidden/>
        </w:rPr>
        <w:t>9</w:t>
      </w:r>
      <w:r>
        <w:rPr>
          <w:noProof/>
          <w:webHidden/>
        </w:rPr>
        <w:fldChar w:fldCharType="end"/>
      </w:r>
      <w:r>
        <w:rPr/>
        <w:fldChar w:fldCharType="end"/>
      </w:r>
    </w:p>
    <w:p>
      <w:pPr>
        <w:pStyle w:val="style20"/>
        <w:tabs>
          <w:tab w:val="right" w:leader="dot" w:pos="8296"/>
        </w:tabs>
        <w:rPr>
          <w:rFonts w:eastAsia="宋体"/>
          <w:noProof/>
          <w:lang w:eastAsia="el-GR"/>
        </w:rPr>
      </w:pPr>
      <w:r>
        <w:rPr/>
        <w:fldChar w:fldCharType="begin"/>
      </w:r>
      <w:r>
        <w:instrText xml:space="preserve"> HYPERLINK \l "_Toc77270426" </w:instrText>
      </w:r>
      <w:r>
        <w:rPr/>
        <w:fldChar w:fldCharType="separate"/>
      </w:r>
      <w:r>
        <w:rPr>
          <w:rStyle w:val="style85"/>
          <w:iCs/>
          <w:noProof/>
        </w:rPr>
        <w:t>Χαρακτηριστικά και εφαρμογές των αυξητικών υλικών</w:t>
      </w:r>
      <w:r>
        <w:rPr>
          <w:noProof/>
          <w:webHidden/>
        </w:rPr>
        <w:tab/>
      </w:r>
      <w:r>
        <w:rPr>
          <w:noProof/>
          <w:webHidden/>
        </w:rPr>
        <w:fldChar w:fldCharType="begin"/>
      </w:r>
      <w:r>
        <w:rPr>
          <w:noProof/>
          <w:webHidden/>
        </w:rPr>
        <w:instrText xml:space="preserve"> PAGEREF _Toc77270426 \h </w:instrText>
      </w:r>
      <w:r>
        <w:rPr>
          <w:noProof/>
          <w:webHidden/>
        </w:rPr>
        <w:fldChar w:fldCharType="separate"/>
      </w:r>
      <w:r>
        <w:rPr>
          <w:noProof/>
          <w:webHidden/>
        </w:rPr>
        <w:t>10</w:t>
      </w:r>
      <w:r>
        <w:rPr>
          <w:noProof/>
          <w:webHidden/>
        </w:rPr>
        <w:fldChar w:fldCharType="end"/>
      </w:r>
      <w:r>
        <w:rPr/>
        <w:fldChar w:fldCharType="end"/>
      </w:r>
    </w:p>
    <w:p>
      <w:pPr>
        <w:pStyle w:val="style19"/>
        <w:tabs>
          <w:tab w:val="right" w:leader="dot" w:pos="8296"/>
        </w:tabs>
        <w:rPr>
          <w:rFonts w:eastAsia="宋体"/>
          <w:noProof/>
          <w:lang w:eastAsia="el-GR"/>
        </w:rPr>
      </w:pPr>
      <w:r>
        <w:rPr/>
        <w:fldChar w:fldCharType="begin"/>
      </w:r>
      <w:r>
        <w:instrText xml:space="preserve"> HYPERLINK \l "_Toc77270427" </w:instrText>
      </w:r>
      <w:r>
        <w:rPr/>
        <w:fldChar w:fldCharType="separate"/>
      </w:r>
      <w:r>
        <w:rPr>
          <w:rStyle w:val="style85"/>
          <w:noProof/>
        </w:rPr>
        <w:t>Κεφάλαιο 3 – Γεωμετρία της δομής</w:t>
      </w:r>
      <w:r>
        <w:rPr>
          <w:noProof/>
          <w:webHidden/>
        </w:rPr>
        <w:tab/>
      </w:r>
      <w:r>
        <w:rPr>
          <w:noProof/>
          <w:webHidden/>
        </w:rPr>
        <w:fldChar w:fldCharType="begin"/>
      </w:r>
      <w:r>
        <w:rPr>
          <w:noProof/>
          <w:webHidden/>
        </w:rPr>
        <w:instrText xml:space="preserve"> PAGEREF _Toc77270427 \h </w:instrText>
      </w:r>
      <w:r>
        <w:rPr>
          <w:noProof/>
          <w:webHidden/>
        </w:rPr>
        <w:fldChar w:fldCharType="separate"/>
      </w:r>
      <w:r>
        <w:rPr>
          <w:noProof/>
          <w:webHidden/>
        </w:rPr>
        <w:t>11</w:t>
      </w:r>
      <w:r>
        <w:rPr>
          <w:noProof/>
          <w:webHidden/>
        </w:rPr>
        <w:fldChar w:fldCharType="end"/>
      </w:r>
      <w:r>
        <w:rPr/>
        <w:fldChar w:fldCharType="end"/>
      </w:r>
    </w:p>
    <w:p>
      <w:pPr>
        <w:pStyle w:val="style19"/>
        <w:tabs>
          <w:tab w:val="right" w:leader="dot" w:pos="8296"/>
        </w:tabs>
        <w:rPr>
          <w:rFonts w:eastAsia="宋体"/>
          <w:noProof/>
          <w:lang w:eastAsia="el-GR"/>
        </w:rPr>
      </w:pPr>
      <w:r>
        <w:rPr/>
        <w:fldChar w:fldCharType="begin"/>
      </w:r>
      <w:r>
        <w:instrText xml:space="preserve"> HYPERLINK \l "_Toc77270428" </w:instrText>
      </w:r>
      <w:r>
        <w:rPr/>
        <w:fldChar w:fldCharType="separate"/>
      </w:r>
      <w:r>
        <w:rPr>
          <w:rStyle w:val="style85"/>
          <w:noProof/>
        </w:rPr>
        <w:t>Κεφάλαιο 4 – Χάσματα συχνοτήτων (</w:t>
      </w:r>
      <w:r>
        <w:rPr>
          <w:rStyle w:val="style85"/>
          <w:noProof/>
          <w:lang w:val="en-US"/>
        </w:rPr>
        <w:t>Band</w:t>
      </w:r>
      <w:r>
        <w:rPr>
          <w:rStyle w:val="style85"/>
          <w:noProof/>
        </w:rPr>
        <w:t xml:space="preserve"> </w:t>
      </w:r>
      <w:r>
        <w:rPr>
          <w:rStyle w:val="style85"/>
          <w:noProof/>
          <w:lang w:val="en-US"/>
        </w:rPr>
        <w:t>gaps</w:t>
      </w:r>
      <w:r>
        <w:rPr>
          <w:rStyle w:val="style85"/>
          <w:noProof/>
        </w:rPr>
        <w:t>)</w:t>
      </w:r>
      <w:r>
        <w:rPr>
          <w:noProof/>
          <w:webHidden/>
        </w:rPr>
        <w:tab/>
      </w:r>
      <w:r>
        <w:rPr>
          <w:noProof/>
          <w:webHidden/>
        </w:rPr>
        <w:fldChar w:fldCharType="begin"/>
      </w:r>
      <w:r>
        <w:rPr>
          <w:noProof/>
          <w:webHidden/>
        </w:rPr>
        <w:instrText xml:space="preserve"> PAGEREF _Toc77270428 \h </w:instrText>
      </w:r>
      <w:r>
        <w:rPr>
          <w:noProof/>
          <w:webHidden/>
        </w:rPr>
        <w:fldChar w:fldCharType="separate"/>
      </w:r>
      <w:r>
        <w:rPr>
          <w:noProof/>
          <w:webHidden/>
        </w:rPr>
        <w:t>13</w:t>
      </w:r>
      <w:r>
        <w:rPr>
          <w:noProof/>
          <w:webHidden/>
        </w:rPr>
        <w:fldChar w:fldCharType="end"/>
      </w:r>
      <w:r>
        <w:rPr/>
        <w:fldChar w:fldCharType="end"/>
      </w:r>
    </w:p>
    <w:p>
      <w:pPr>
        <w:pStyle w:val="style19"/>
        <w:tabs>
          <w:tab w:val="right" w:leader="dot" w:pos="8296"/>
        </w:tabs>
        <w:rPr>
          <w:rFonts w:eastAsia="宋体"/>
          <w:noProof/>
          <w:lang w:eastAsia="el-GR"/>
        </w:rPr>
      </w:pPr>
      <w:r>
        <w:rPr/>
        <w:fldChar w:fldCharType="begin"/>
      </w:r>
      <w:r>
        <w:instrText xml:space="preserve"> HYPERLINK \l "_Toc77270429" </w:instrText>
      </w:r>
      <w:r>
        <w:rPr/>
        <w:fldChar w:fldCharType="separate"/>
      </w:r>
      <w:r>
        <w:rPr>
          <w:rStyle w:val="style85"/>
          <w:noProof/>
        </w:rPr>
        <w:t xml:space="preserve">Κεφάλαιο 5 – Θεωρήματα </w:t>
      </w:r>
      <w:r>
        <w:rPr>
          <w:rStyle w:val="style85"/>
          <w:noProof/>
          <w:lang w:val="en-US"/>
        </w:rPr>
        <w:t>Floquet</w:t>
      </w:r>
      <w:r>
        <w:rPr>
          <w:rStyle w:val="style85"/>
          <w:noProof/>
        </w:rPr>
        <w:t xml:space="preserve">, </w:t>
      </w:r>
      <w:r>
        <w:rPr>
          <w:rStyle w:val="style85"/>
          <w:noProof/>
          <w:lang w:val="en-US"/>
        </w:rPr>
        <w:t>Bloch</w:t>
      </w:r>
      <w:r>
        <w:rPr>
          <w:rStyle w:val="style85"/>
          <w:noProof/>
        </w:rPr>
        <w:t xml:space="preserve"> και εφαρμογή στο μοντέλο</w:t>
      </w:r>
      <w:r>
        <w:rPr>
          <w:noProof/>
          <w:webHidden/>
        </w:rPr>
        <w:tab/>
      </w:r>
      <w:r>
        <w:rPr>
          <w:noProof/>
          <w:webHidden/>
        </w:rPr>
        <w:fldChar w:fldCharType="begin"/>
      </w:r>
      <w:r>
        <w:rPr>
          <w:noProof/>
          <w:webHidden/>
        </w:rPr>
        <w:instrText xml:space="preserve"> PAGEREF _Toc77270429 \h </w:instrText>
      </w:r>
      <w:r>
        <w:rPr>
          <w:noProof/>
          <w:webHidden/>
        </w:rPr>
        <w:fldChar w:fldCharType="separate"/>
      </w:r>
      <w:r>
        <w:rPr>
          <w:noProof/>
          <w:webHidden/>
        </w:rPr>
        <w:t>14</w:t>
      </w:r>
      <w:r>
        <w:rPr>
          <w:noProof/>
          <w:webHidden/>
        </w:rPr>
        <w:fldChar w:fldCharType="end"/>
      </w:r>
      <w:r>
        <w:rPr/>
        <w:fldChar w:fldCharType="end"/>
      </w:r>
    </w:p>
    <w:p>
      <w:pPr>
        <w:pStyle w:val="style20"/>
        <w:tabs>
          <w:tab w:val="right" w:leader="dot" w:pos="8296"/>
        </w:tabs>
        <w:rPr>
          <w:rFonts w:eastAsia="宋体"/>
          <w:noProof/>
          <w:lang w:eastAsia="el-GR"/>
        </w:rPr>
      </w:pPr>
      <w:r>
        <w:rPr/>
        <w:fldChar w:fldCharType="begin"/>
      </w:r>
      <w:r>
        <w:instrText xml:space="preserve"> HYPERLINK \l "_Toc77270430" </w:instrText>
      </w:r>
      <w:r>
        <w:rPr/>
        <w:fldChar w:fldCharType="separate"/>
      </w:r>
      <w:r>
        <w:rPr>
          <w:rStyle w:val="style85"/>
          <w:noProof/>
        </w:rPr>
        <w:t xml:space="preserve">Θεώρημα </w:t>
      </w:r>
      <w:r>
        <w:rPr>
          <w:rStyle w:val="style85"/>
          <w:noProof/>
          <w:lang w:val="en-US"/>
        </w:rPr>
        <w:t>Floquet</w:t>
      </w:r>
      <w:r>
        <w:rPr>
          <w:noProof/>
          <w:webHidden/>
        </w:rPr>
        <w:tab/>
      </w:r>
      <w:r>
        <w:rPr>
          <w:noProof/>
          <w:webHidden/>
        </w:rPr>
        <w:fldChar w:fldCharType="begin"/>
      </w:r>
      <w:r>
        <w:rPr>
          <w:noProof/>
          <w:webHidden/>
        </w:rPr>
        <w:instrText xml:space="preserve"> PAGEREF _Toc77270430 \h </w:instrText>
      </w:r>
      <w:r>
        <w:rPr>
          <w:noProof/>
          <w:webHidden/>
        </w:rPr>
        <w:fldChar w:fldCharType="separate"/>
      </w:r>
      <w:r>
        <w:rPr>
          <w:noProof/>
          <w:webHidden/>
        </w:rPr>
        <w:t>14</w:t>
      </w:r>
      <w:r>
        <w:rPr>
          <w:noProof/>
          <w:webHidden/>
        </w:rPr>
        <w:fldChar w:fldCharType="end"/>
      </w:r>
      <w:r>
        <w:rPr/>
        <w:fldChar w:fldCharType="end"/>
      </w:r>
    </w:p>
    <w:p>
      <w:pPr>
        <w:pStyle w:val="style20"/>
        <w:tabs>
          <w:tab w:val="right" w:leader="dot" w:pos="8296"/>
        </w:tabs>
        <w:rPr>
          <w:rFonts w:eastAsia="宋体"/>
          <w:noProof/>
          <w:lang w:eastAsia="el-GR"/>
        </w:rPr>
      </w:pPr>
      <w:r>
        <w:rPr/>
        <w:fldChar w:fldCharType="begin"/>
      </w:r>
      <w:r>
        <w:instrText xml:space="preserve"> HYPERLINK \l "_Toc77270431" </w:instrText>
      </w:r>
      <w:r>
        <w:rPr/>
        <w:fldChar w:fldCharType="separate"/>
      </w:r>
      <w:r>
        <w:rPr>
          <w:rStyle w:val="style85"/>
          <w:noProof/>
        </w:rPr>
        <w:t xml:space="preserve">Θεώρημα </w:t>
      </w:r>
      <w:r>
        <w:rPr>
          <w:rStyle w:val="style85"/>
          <w:noProof/>
          <w:lang w:val="en-US"/>
        </w:rPr>
        <w:t>Bloch</w:t>
      </w:r>
      <w:r>
        <w:rPr>
          <w:noProof/>
          <w:webHidden/>
        </w:rPr>
        <w:tab/>
      </w:r>
      <w:r>
        <w:rPr>
          <w:noProof/>
          <w:webHidden/>
        </w:rPr>
        <w:fldChar w:fldCharType="begin"/>
      </w:r>
      <w:r>
        <w:rPr>
          <w:noProof/>
          <w:webHidden/>
        </w:rPr>
        <w:instrText xml:space="preserve"> PAGEREF _Toc77270431 \h </w:instrText>
      </w:r>
      <w:r>
        <w:rPr>
          <w:noProof/>
          <w:webHidden/>
        </w:rPr>
        <w:fldChar w:fldCharType="separate"/>
      </w:r>
      <w:r>
        <w:rPr>
          <w:noProof/>
          <w:webHidden/>
        </w:rPr>
        <w:t>14</w:t>
      </w:r>
      <w:r>
        <w:rPr>
          <w:noProof/>
          <w:webHidden/>
        </w:rPr>
        <w:fldChar w:fldCharType="end"/>
      </w:r>
      <w:r>
        <w:rPr/>
        <w:fldChar w:fldCharType="end"/>
      </w:r>
    </w:p>
    <w:p>
      <w:pPr>
        <w:pStyle w:val="style20"/>
        <w:tabs>
          <w:tab w:val="right" w:leader="dot" w:pos="8296"/>
        </w:tabs>
        <w:rPr>
          <w:rFonts w:eastAsia="宋体"/>
          <w:noProof/>
          <w:lang w:eastAsia="el-GR"/>
        </w:rPr>
      </w:pPr>
      <w:r>
        <w:rPr/>
        <w:fldChar w:fldCharType="begin"/>
      </w:r>
      <w:r>
        <w:instrText xml:space="preserve"> HYPERLINK \l "_Toc77270432" </w:instrText>
      </w:r>
      <w:r>
        <w:rPr/>
        <w:fldChar w:fldCharType="separate"/>
      </w:r>
      <w:r>
        <w:rPr>
          <w:rStyle w:val="style85"/>
          <w:noProof/>
          <w:lang w:val="en-US"/>
        </w:rPr>
        <w:t>IBZ</w:t>
      </w:r>
      <w:r>
        <w:rPr>
          <w:rStyle w:val="style85"/>
          <w:noProof/>
        </w:rPr>
        <w:t xml:space="preserve"> (</w:t>
      </w:r>
      <w:r>
        <w:rPr>
          <w:rStyle w:val="style85"/>
          <w:noProof/>
          <w:lang w:val="en-US"/>
        </w:rPr>
        <w:t>Irreducible</w:t>
      </w:r>
      <w:r>
        <w:rPr>
          <w:rStyle w:val="style85"/>
          <w:noProof/>
        </w:rPr>
        <w:t xml:space="preserve"> </w:t>
      </w:r>
      <w:r>
        <w:rPr>
          <w:rStyle w:val="style85"/>
          <w:noProof/>
          <w:lang w:val="en-US"/>
        </w:rPr>
        <w:t>Brillouin</w:t>
      </w:r>
      <w:r>
        <w:rPr>
          <w:rStyle w:val="style85"/>
          <w:noProof/>
        </w:rPr>
        <w:t xml:space="preserve"> </w:t>
      </w:r>
      <w:r>
        <w:rPr>
          <w:rStyle w:val="style85"/>
          <w:noProof/>
          <w:lang w:val="en-US"/>
        </w:rPr>
        <w:t>Zone</w:t>
      </w:r>
      <w:r>
        <w:rPr>
          <w:rStyle w:val="style85"/>
          <w:noProof/>
        </w:rPr>
        <w:t>) και περιοδικά μοντέλα</w:t>
      </w:r>
      <w:r>
        <w:rPr>
          <w:noProof/>
          <w:webHidden/>
        </w:rPr>
        <w:tab/>
      </w:r>
      <w:r>
        <w:rPr>
          <w:noProof/>
          <w:webHidden/>
        </w:rPr>
        <w:fldChar w:fldCharType="begin"/>
      </w:r>
      <w:r>
        <w:rPr>
          <w:noProof/>
          <w:webHidden/>
        </w:rPr>
        <w:instrText xml:space="preserve"> PAGEREF _Toc77270432 \h </w:instrText>
      </w:r>
      <w:r>
        <w:rPr>
          <w:noProof/>
          <w:webHidden/>
        </w:rPr>
        <w:fldChar w:fldCharType="separate"/>
      </w:r>
      <w:r>
        <w:rPr>
          <w:noProof/>
          <w:webHidden/>
        </w:rPr>
        <w:t>15</w:t>
      </w:r>
      <w:r>
        <w:rPr>
          <w:noProof/>
          <w:webHidden/>
        </w:rPr>
        <w:fldChar w:fldCharType="end"/>
      </w:r>
      <w:r>
        <w:rPr/>
        <w:fldChar w:fldCharType="end"/>
      </w:r>
    </w:p>
    <w:p>
      <w:pPr>
        <w:pStyle w:val="style20"/>
        <w:tabs>
          <w:tab w:val="right" w:leader="dot" w:pos="8296"/>
        </w:tabs>
        <w:rPr>
          <w:rFonts w:eastAsia="宋体"/>
          <w:noProof/>
          <w:lang w:eastAsia="el-GR"/>
        </w:rPr>
      </w:pPr>
      <w:r>
        <w:rPr/>
        <w:fldChar w:fldCharType="begin"/>
      </w:r>
      <w:r>
        <w:instrText xml:space="preserve"> HYPERLINK \l "_Toc77270433" </w:instrText>
      </w:r>
      <w:r>
        <w:rPr/>
        <w:fldChar w:fldCharType="separate"/>
      </w:r>
      <w:r>
        <w:rPr>
          <w:rStyle w:val="style85"/>
          <w:noProof/>
        </w:rPr>
        <w:t>Εφαρμογή στο μοντέλο</w:t>
      </w:r>
      <w:r>
        <w:rPr>
          <w:noProof/>
          <w:webHidden/>
        </w:rPr>
        <w:tab/>
      </w:r>
      <w:r>
        <w:rPr>
          <w:noProof/>
          <w:webHidden/>
        </w:rPr>
        <w:fldChar w:fldCharType="begin"/>
      </w:r>
      <w:r>
        <w:rPr>
          <w:noProof/>
          <w:webHidden/>
        </w:rPr>
        <w:instrText xml:space="preserve"> PAGEREF _Toc77270433 \h </w:instrText>
      </w:r>
      <w:r>
        <w:rPr>
          <w:noProof/>
          <w:webHidden/>
        </w:rPr>
        <w:fldChar w:fldCharType="separate"/>
      </w:r>
      <w:r>
        <w:rPr>
          <w:noProof/>
          <w:webHidden/>
        </w:rPr>
        <w:t>18</w:t>
      </w:r>
      <w:r>
        <w:rPr>
          <w:noProof/>
          <w:webHidden/>
        </w:rPr>
        <w:fldChar w:fldCharType="end"/>
      </w:r>
      <w:r>
        <w:rPr/>
        <w:fldChar w:fldCharType="end"/>
      </w:r>
    </w:p>
    <w:p>
      <w:pPr>
        <w:pStyle w:val="style19"/>
        <w:tabs>
          <w:tab w:val="right" w:leader="dot" w:pos="8296"/>
        </w:tabs>
        <w:rPr>
          <w:rFonts w:eastAsia="宋体"/>
          <w:noProof/>
          <w:lang w:eastAsia="el-GR"/>
        </w:rPr>
      </w:pPr>
      <w:r>
        <w:rPr/>
        <w:fldChar w:fldCharType="begin"/>
      </w:r>
      <w:r>
        <w:instrText xml:space="preserve"> HYPERLINK \l "_Toc77270434" </w:instrText>
      </w:r>
      <w:r>
        <w:rPr/>
        <w:fldChar w:fldCharType="separate"/>
      </w:r>
      <w:r>
        <w:rPr>
          <w:rStyle w:val="style85"/>
          <w:noProof/>
        </w:rPr>
        <w:t>Κεφάλαιο 6 – Προσομοίωση δομής με χρήση περιοδικών συνθηκών</w:t>
      </w:r>
      <w:r>
        <w:rPr>
          <w:noProof/>
          <w:webHidden/>
        </w:rPr>
        <w:tab/>
      </w:r>
      <w:r>
        <w:rPr>
          <w:noProof/>
          <w:webHidden/>
        </w:rPr>
        <w:fldChar w:fldCharType="begin"/>
      </w:r>
      <w:r>
        <w:rPr>
          <w:noProof/>
          <w:webHidden/>
        </w:rPr>
        <w:instrText xml:space="preserve"> PAGEREF _Toc77270434 \h </w:instrText>
      </w:r>
      <w:r>
        <w:rPr>
          <w:noProof/>
          <w:webHidden/>
        </w:rPr>
        <w:fldChar w:fldCharType="separate"/>
      </w:r>
      <w:r>
        <w:rPr>
          <w:noProof/>
          <w:webHidden/>
        </w:rPr>
        <w:t>20</w:t>
      </w:r>
      <w:r>
        <w:rPr>
          <w:noProof/>
          <w:webHidden/>
        </w:rPr>
        <w:fldChar w:fldCharType="end"/>
      </w:r>
      <w:r>
        <w:rPr/>
        <w:fldChar w:fldCharType="end"/>
      </w:r>
    </w:p>
    <w:p>
      <w:pPr>
        <w:pStyle w:val="style20"/>
        <w:tabs>
          <w:tab w:val="right" w:leader="dot" w:pos="8296"/>
        </w:tabs>
        <w:rPr>
          <w:rFonts w:eastAsia="宋体"/>
          <w:noProof/>
          <w:lang w:eastAsia="el-GR"/>
        </w:rPr>
      </w:pPr>
      <w:r>
        <w:rPr/>
        <w:fldChar w:fldCharType="begin"/>
      </w:r>
      <w:r>
        <w:instrText xml:space="preserve"> HYPERLINK \l "_Toc77270435" </w:instrText>
      </w:r>
      <w:r>
        <w:rPr/>
        <w:fldChar w:fldCharType="separate"/>
      </w:r>
      <w:r>
        <w:rPr>
          <w:rStyle w:val="style85"/>
          <w:noProof/>
        </w:rPr>
        <w:t>Προσομοίωση δομής χωρίς και με κυκλικό έγκλεισμα (πυρήνα) (</w:t>
      </w:r>
      <w:r>
        <w:rPr>
          <w:rStyle w:val="style85"/>
          <w:noProof/>
          <w:lang w:val="en-US"/>
        </w:rPr>
        <w:t>r</w:t>
      </w:r>
      <w:r>
        <w:rPr>
          <w:rStyle w:val="style85"/>
          <w:noProof/>
          <w:vertAlign w:val="subscript"/>
          <w:lang w:val="en-US"/>
        </w:rPr>
        <w:t>c</w:t>
      </w:r>
      <w:r>
        <w:rPr>
          <w:rStyle w:val="style85"/>
          <w:noProof/>
        </w:rPr>
        <w:t>=</w:t>
      </w:r>
      <w:r>
        <w:rPr>
          <w:rStyle w:val="style85"/>
          <w:noProof/>
          <w:lang w:val="en-US"/>
        </w:rPr>
        <w:t>r</w:t>
      </w:r>
      <w:r>
        <w:rPr>
          <w:rStyle w:val="style85"/>
          <w:noProof/>
        </w:rPr>
        <w:t>/4)</w:t>
      </w:r>
      <w:r>
        <w:rPr>
          <w:noProof/>
          <w:webHidden/>
        </w:rPr>
        <w:tab/>
      </w:r>
      <w:r>
        <w:rPr>
          <w:noProof/>
          <w:webHidden/>
        </w:rPr>
        <w:fldChar w:fldCharType="begin"/>
      </w:r>
      <w:r>
        <w:rPr>
          <w:noProof/>
          <w:webHidden/>
        </w:rPr>
        <w:instrText xml:space="preserve"> PAGEREF _Toc77270435 \h </w:instrText>
      </w:r>
      <w:r>
        <w:rPr>
          <w:noProof/>
          <w:webHidden/>
        </w:rPr>
        <w:fldChar w:fldCharType="separate"/>
      </w:r>
      <w:r>
        <w:rPr>
          <w:noProof/>
          <w:webHidden/>
        </w:rPr>
        <w:t>21</w:t>
      </w:r>
      <w:r>
        <w:rPr>
          <w:noProof/>
          <w:webHidden/>
        </w:rPr>
        <w:fldChar w:fldCharType="end"/>
      </w:r>
      <w:r>
        <w:rPr/>
        <w:fldChar w:fldCharType="end"/>
      </w:r>
    </w:p>
    <w:p>
      <w:pPr>
        <w:pStyle w:val="style20"/>
        <w:tabs>
          <w:tab w:val="right" w:leader="dot" w:pos="8296"/>
        </w:tabs>
        <w:rPr>
          <w:rFonts w:eastAsia="宋体"/>
          <w:noProof/>
          <w:lang w:eastAsia="el-GR"/>
        </w:rPr>
      </w:pPr>
      <w:r>
        <w:rPr/>
        <w:fldChar w:fldCharType="begin"/>
      </w:r>
      <w:r>
        <w:instrText xml:space="preserve"> HYPERLINK \l "_Toc77270436" </w:instrText>
      </w:r>
      <w:r>
        <w:rPr/>
        <w:fldChar w:fldCharType="separate"/>
      </w:r>
      <w:r>
        <w:rPr>
          <w:rStyle w:val="style85"/>
          <w:noProof/>
        </w:rPr>
        <w:t>Προσομοίωση με παραμετροποίηση ακτίνας σκελετού (</w:t>
      </w:r>
      <w:r>
        <w:rPr>
          <w:rStyle w:val="style85"/>
          <w:noProof/>
          <w:lang w:val="en-US"/>
        </w:rPr>
        <w:t>r</w:t>
      </w:r>
      <w:r>
        <w:rPr>
          <w:rStyle w:val="style85"/>
          <w:noProof/>
        </w:rPr>
        <w:t>)</w:t>
      </w:r>
      <w:r>
        <w:rPr>
          <w:noProof/>
          <w:webHidden/>
        </w:rPr>
        <w:tab/>
      </w:r>
      <w:r>
        <w:rPr>
          <w:noProof/>
          <w:webHidden/>
        </w:rPr>
        <w:fldChar w:fldCharType="begin"/>
      </w:r>
      <w:r>
        <w:rPr>
          <w:noProof/>
          <w:webHidden/>
        </w:rPr>
        <w:instrText xml:space="preserve"> PAGEREF _Toc77270436 \h </w:instrText>
      </w:r>
      <w:r>
        <w:rPr>
          <w:noProof/>
          <w:webHidden/>
        </w:rPr>
        <w:fldChar w:fldCharType="separate"/>
      </w:r>
      <w:r>
        <w:rPr>
          <w:noProof/>
          <w:webHidden/>
        </w:rPr>
        <w:t>24</w:t>
      </w:r>
      <w:r>
        <w:rPr>
          <w:noProof/>
          <w:webHidden/>
        </w:rPr>
        <w:fldChar w:fldCharType="end"/>
      </w:r>
      <w:r>
        <w:rPr/>
        <w:fldChar w:fldCharType="end"/>
      </w:r>
    </w:p>
    <w:p>
      <w:pPr>
        <w:pStyle w:val="style21"/>
        <w:tabs>
          <w:tab w:val="right" w:leader="dot" w:pos="8296"/>
        </w:tabs>
        <w:rPr>
          <w:rFonts w:eastAsia="宋体"/>
          <w:noProof/>
          <w:lang w:eastAsia="el-GR"/>
        </w:rPr>
      </w:pPr>
      <w:r>
        <w:rPr/>
        <w:fldChar w:fldCharType="begin"/>
      </w:r>
      <w:r>
        <w:instrText xml:space="preserve"> HYPERLINK \l "_Toc77270437" </w:instrText>
      </w:r>
      <w:r>
        <w:rPr/>
        <w:fldChar w:fldCharType="separate"/>
      </w:r>
      <w:r>
        <w:rPr>
          <w:rStyle w:val="style85"/>
          <w:noProof/>
          <w:lang w:val="en-US"/>
        </w:rPr>
        <w:t>r</w:t>
      </w:r>
      <w:r>
        <w:rPr>
          <w:rStyle w:val="style85"/>
          <w:noProof/>
        </w:rPr>
        <w:t xml:space="preserve">=0.004 </w:t>
      </w:r>
      <w:r>
        <w:rPr>
          <w:rStyle w:val="style85"/>
          <w:noProof/>
          <w:lang w:val="en-US"/>
        </w:rPr>
        <w:t>m</w:t>
      </w:r>
      <w:r>
        <w:rPr>
          <w:noProof/>
          <w:webHidden/>
        </w:rPr>
        <w:tab/>
      </w:r>
      <w:r>
        <w:rPr>
          <w:noProof/>
          <w:webHidden/>
        </w:rPr>
        <w:fldChar w:fldCharType="begin"/>
      </w:r>
      <w:r>
        <w:rPr>
          <w:noProof/>
          <w:webHidden/>
        </w:rPr>
        <w:instrText xml:space="preserve"> PAGEREF _Toc77270437 \h </w:instrText>
      </w:r>
      <w:r>
        <w:rPr>
          <w:noProof/>
          <w:webHidden/>
        </w:rPr>
        <w:fldChar w:fldCharType="separate"/>
      </w:r>
      <w:r>
        <w:rPr>
          <w:noProof/>
          <w:webHidden/>
        </w:rPr>
        <w:t>24</w:t>
      </w:r>
      <w:r>
        <w:rPr>
          <w:noProof/>
          <w:webHidden/>
        </w:rPr>
        <w:fldChar w:fldCharType="end"/>
      </w:r>
      <w:r>
        <w:rPr/>
        <w:fldChar w:fldCharType="end"/>
      </w:r>
    </w:p>
    <w:p>
      <w:pPr>
        <w:pStyle w:val="style21"/>
        <w:tabs>
          <w:tab w:val="right" w:leader="dot" w:pos="8296"/>
        </w:tabs>
        <w:rPr>
          <w:rFonts w:eastAsia="宋体"/>
          <w:noProof/>
          <w:lang w:eastAsia="el-GR"/>
        </w:rPr>
      </w:pPr>
      <w:r>
        <w:rPr/>
        <w:fldChar w:fldCharType="begin"/>
      </w:r>
      <w:r>
        <w:instrText xml:space="preserve"> HYPERLINK \l "_Toc77270438" </w:instrText>
      </w:r>
      <w:r>
        <w:rPr/>
        <w:fldChar w:fldCharType="separate"/>
      </w:r>
      <w:r>
        <w:rPr>
          <w:rStyle w:val="style85"/>
          <w:noProof/>
          <w:lang w:val="en-US"/>
        </w:rPr>
        <w:t>r</w:t>
      </w:r>
      <w:r>
        <w:rPr>
          <w:rStyle w:val="style85"/>
          <w:noProof/>
        </w:rPr>
        <w:t xml:space="preserve">=0.0045 </w:t>
      </w:r>
      <w:r>
        <w:rPr>
          <w:rStyle w:val="style85"/>
          <w:noProof/>
          <w:lang w:val="en-US"/>
        </w:rPr>
        <w:t>m</w:t>
      </w:r>
      <w:r>
        <w:rPr>
          <w:noProof/>
          <w:webHidden/>
        </w:rPr>
        <w:tab/>
      </w:r>
      <w:r>
        <w:rPr>
          <w:noProof/>
          <w:webHidden/>
        </w:rPr>
        <w:fldChar w:fldCharType="begin"/>
      </w:r>
      <w:r>
        <w:rPr>
          <w:noProof/>
          <w:webHidden/>
        </w:rPr>
        <w:instrText xml:space="preserve"> PAGEREF _Toc77270438 \h </w:instrText>
      </w:r>
      <w:r>
        <w:rPr>
          <w:noProof/>
          <w:webHidden/>
        </w:rPr>
        <w:fldChar w:fldCharType="separate"/>
      </w:r>
      <w:r>
        <w:rPr>
          <w:noProof/>
          <w:webHidden/>
        </w:rPr>
        <w:t>25</w:t>
      </w:r>
      <w:r>
        <w:rPr>
          <w:noProof/>
          <w:webHidden/>
        </w:rPr>
        <w:fldChar w:fldCharType="end"/>
      </w:r>
      <w:r>
        <w:rPr/>
        <w:fldChar w:fldCharType="end"/>
      </w:r>
    </w:p>
    <w:p>
      <w:pPr>
        <w:pStyle w:val="style21"/>
        <w:tabs>
          <w:tab w:val="right" w:leader="dot" w:pos="8296"/>
        </w:tabs>
        <w:rPr>
          <w:rFonts w:eastAsia="宋体"/>
          <w:noProof/>
          <w:lang w:eastAsia="el-GR"/>
        </w:rPr>
      </w:pPr>
      <w:r>
        <w:rPr/>
        <w:fldChar w:fldCharType="begin"/>
      </w:r>
      <w:r>
        <w:instrText xml:space="preserve"> HYPERLINK \l "_Toc77270439" </w:instrText>
      </w:r>
      <w:r>
        <w:rPr/>
        <w:fldChar w:fldCharType="separate"/>
      </w:r>
      <w:r>
        <w:rPr>
          <w:rStyle w:val="style85"/>
          <w:noProof/>
          <w:lang w:val="en-US"/>
        </w:rPr>
        <w:t>r</w:t>
      </w:r>
      <w:r>
        <w:rPr>
          <w:rStyle w:val="style85"/>
          <w:noProof/>
        </w:rPr>
        <w:t xml:space="preserve">=0.0055 </w:t>
      </w:r>
      <w:r>
        <w:rPr>
          <w:rStyle w:val="style85"/>
          <w:noProof/>
          <w:lang w:val="en-US"/>
        </w:rPr>
        <w:t>m</w:t>
      </w:r>
      <w:r>
        <w:rPr>
          <w:noProof/>
          <w:webHidden/>
        </w:rPr>
        <w:tab/>
      </w:r>
      <w:r>
        <w:rPr>
          <w:noProof/>
          <w:webHidden/>
        </w:rPr>
        <w:fldChar w:fldCharType="begin"/>
      </w:r>
      <w:r>
        <w:rPr>
          <w:noProof/>
          <w:webHidden/>
        </w:rPr>
        <w:instrText xml:space="preserve"> PAGEREF _Toc77270439 \h </w:instrText>
      </w:r>
      <w:r>
        <w:rPr>
          <w:noProof/>
          <w:webHidden/>
        </w:rPr>
        <w:fldChar w:fldCharType="separate"/>
      </w:r>
      <w:r>
        <w:rPr>
          <w:noProof/>
          <w:webHidden/>
        </w:rPr>
        <w:t>26</w:t>
      </w:r>
      <w:r>
        <w:rPr>
          <w:noProof/>
          <w:webHidden/>
        </w:rPr>
        <w:fldChar w:fldCharType="end"/>
      </w:r>
      <w:r>
        <w:rPr/>
        <w:fldChar w:fldCharType="end"/>
      </w:r>
    </w:p>
    <w:p>
      <w:pPr>
        <w:pStyle w:val="style21"/>
        <w:tabs>
          <w:tab w:val="right" w:leader="dot" w:pos="8296"/>
        </w:tabs>
        <w:rPr>
          <w:rFonts w:eastAsia="宋体"/>
          <w:noProof/>
          <w:lang w:eastAsia="el-GR"/>
        </w:rPr>
      </w:pPr>
      <w:r>
        <w:rPr/>
        <w:fldChar w:fldCharType="begin"/>
      </w:r>
      <w:r>
        <w:instrText xml:space="preserve"> HYPERLINK \l "_Toc77270440" </w:instrText>
      </w:r>
      <w:r>
        <w:rPr/>
        <w:fldChar w:fldCharType="separate"/>
      </w:r>
      <w:r>
        <w:rPr>
          <w:rStyle w:val="style85"/>
          <w:noProof/>
          <w:lang w:val="en-US"/>
        </w:rPr>
        <w:t>r</w:t>
      </w:r>
      <w:r>
        <w:rPr>
          <w:rStyle w:val="style85"/>
          <w:noProof/>
        </w:rPr>
        <w:t xml:space="preserve">=0.006 </w:t>
      </w:r>
      <w:r>
        <w:rPr>
          <w:rStyle w:val="style85"/>
          <w:noProof/>
          <w:lang w:val="en-US"/>
        </w:rPr>
        <w:t>m</w:t>
      </w:r>
      <w:r>
        <w:rPr>
          <w:noProof/>
          <w:webHidden/>
        </w:rPr>
        <w:tab/>
      </w:r>
      <w:r>
        <w:rPr>
          <w:noProof/>
          <w:webHidden/>
        </w:rPr>
        <w:fldChar w:fldCharType="begin"/>
      </w:r>
      <w:r>
        <w:rPr>
          <w:noProof/>
          <w:webHidden/>
        </w:rPr>
        <w:instrText xml:space="preserve"> PAGEREF _Toc77270440 \h </w:instrText>
      </w:r>
      <w:r>
        <w:rPr>
          <w:noProof/>
          <w:webHidden/>
        </w:rPr>
        <w:fldChar w:fldCharType="separate"/>
      </w:r>
      <w:r>
        <w:rPr>
          <w:noProof/>
          <w:webHidden/>
        </w:rPr>
        <w:t>27</w:t>
      </w:r>
      <w:r>
        <w:rPr>
          <w:noProof/>
          <w:webHidden/>
        </w:rPr>
        <w:fldChar w:fldCharType="end"/>
      </w:r>
      <w:r>
        <w:rPr/>
        <w:fldChar w:fldCharType="end"/>
      </w:r>
    </w:p>
    <w:p>
      <w:pPr>
        <w:pStyle w:val="style20"/>
        <w:tabs>
          <w:tab w:val="right" w:leader="dot" w:pos="8296"/>
        </w:tabs>
        <w:rPr>
          <w:rFonts w:eastAsia="宋体"/>
          <w:noProof/>
          <w:lang w:eastAsia="el-GR"/>
        </w:rPr>
      </w:pPr>
      <w:r>
        <w:rPr/>
        <w:fldChar w:fldCharType="begin"/>
      </w:r>
      <w:r>
        <w:instrText xml:space="preserve"> HYPERLINK \l "_Toc77270441" </w:instrText>
      </w:r>
      <w:r>
        <w:rPr/>
        <w:fldChar w:fldCharType="separate"/>
      </w:r>
      <w:r>
        <w:rPr>
          <w:rStyle w:val="style85"/>
          <w:noProof/>
        </w:rPr>
        <w:t>Προσομοίωση με παραμετροποίηση μήκους άρθρωσης σκελετού (</w:t>
      </w:r>
      <w:r>
        <w:rPr>
          <w:rStyle w:val="style85"/>
          <w:noProof/>
          <w:lang w:val="en-US"/>
        </w:rPr>
        <w:t>l</w:t>
      </w:r>
      <w:r>
        <w:rPr>
          <w:rStyle w:val="style85"/>
          <w:noProof/>
        </w:rPr>
        <w:t>)</w:t>
      </w:r>
      <w:r>
        <w:rPr>
          <w:noProof/>
          <w:webHidden/>
        </w:rPr>
        <w:tab/>
      </w:r>
      <w:r>
        <w:rPr>
          <w:noProof/>
          <w:webHidden/>
        </w:rPr>
        <w:fldChar w:fldCharType="begin"/>
      </w:r>
      <w:r>
        <w:rPr>
          <w:noProof/>
          <w:webHidden/>
        </w:rPr>
        <w:instrText xml:space="preserve"> PAGEREF _Toc77270441 \h </w:instrText>
      </w:r>
      <w:r>
        <w:rPr>
          <w:noProof/>
          <w:webHidden/>
        </w:rPr>
        <w:fldChar w:fldCharType="separate"/>
      </w:r>
      <w:r>
        <w:rPr>
          <w:noProof/>
          <w:webHidden/>
        </w:rPr>
        <w:t>28</w:t>
      </w:r>
      <w:r>
        <w:rPr>
          <w:noProof/>
          <w:webHidden/>
        </w:rPr>
        <w:fldChar w:fldCharType="end"/>
      </w:r>
      <w:r>
        <w:rPr/>
        <w:fldChar w:fldCharType="end"/>
      </w:r>
    </w:p>
    <w:p>
      <w:pPr>
        <w:pStyle w:val="style21"/>
        <w:tabs>
          <w:tab w:val="right" w:leader="dot" w:pos="8296"/>
        </w:tabs>
        <w:rPr>
          <w:rFonts w:eastAsia="宋体"/>
          <w:noProof/>
          <w:lang w:eastAsia="el-GR"/>
        </w:rPr>
      </w:pPr>
      <w:r>
        <w:rPr/>
        <w:fldChar w:fldCharType="begin"/>
      </w:r>
      <w:r>
        <w:instrText xml:space="preserve"> HYPERLINK \l "_Toc77270442" </w:instrText>
      </w:r>
      <w:r>
        <w:rPr/>
        <w:fldChar w:fldCharType="separate"/>
      </w:r>
      <w:r>
        <w:rPr>
          <w:rStyle w:val="style85"/>
          <w:noProof/>
          <w:lang w:val="en-US"/>
        </w:rPr>
        <w:t>l</w:t>
      </w:r>
      <w:r>
        <w:rPr>
          <w:rStyle w:val="style85"/>
          <w:noProof/>
        </w:rPr>
        <w:t>=0</w:t>
      </w:r>
      <w:r>
        <w:rPr>
          <w:rStyle w:val="style85"/>
          <w:noProof/>
          <w:lang w:val="en-US"/>
        </w:rPr>
        <w:t>.</w:t>
      </w:r>
      <w:r>
        <w:rPr>
          <w:rStyle w:val="style85"/>
          <w:noProof/>
        </w:rPr>
        <w:t xml:space="preserve">01875 </w:t>
      </w:r>
      <w:r>
        <w:rPr>
          <w:rStyle w:val="style85"/>
          <w:noProof/>
          <w:lang w:val="en-US"/>
        </w:rPr>
        <w:t>m</w:t>
      </w:r>
      <w:r>
        <w:rPr>
          <w:noProof/>
          <w:webHidden/>
        </w:rPr>
        <w:tab/>
      </w:r>
      <w:r>
        <w:rPr>
          <w:noProof/>
          <w:webHidden/>
        </w:rPr>
        <w:fldChar w:fldCharType="begin"/>
      </w:r>
      <w:r>
        <w:rPr>
          <w:noProof/>
          <w:webHidden/>
        </w:rPr>
        <w:instrText xml:space="preserve"> PAGEREF _Toc77270442 \h </w:instrText>
      </w:r>
      <w:r>
        <w:rPr>
          <w:noProof/>
          <w:webHidden/>
        </w:rPr>
        <w:fldChar w:fldCharType="separate"/>
      </w:r>
      <w:r>
        <w:rPr>
          <w:noProof/>
          <w:webHidden/>
        </w:rPr>
        <w:t>28</w:t>
      </w:r>
      <w:r>
        <w:rPr>
          <w:noProof/>
          <w:webHidden/>
        </w:rPr>
        <w:fldChar w:fldCharType="end"/>
      </w:r>
      <w:r>
        <w:rPr/>
        <w:fldChar w:fldCharType="end"/>
      </w:r>
    </w:p>
    <w:p>
      <w:pPr>
        <w:pStyle w:val="style21"/>
        <w:tabs>
          <w:tab w:val="right" w:leader="dot" w:pos="8296"/>
        </w:tabs>
        <w:rPr>
          <w:rFonts w:eastAsia="宋体"/>
          <w:noProof/>
          <w:lang w:eastAsia="el-GR"/>
        </w:rPr>
      </w:pPr>
      <w:r>
        <w:rPr/>
        <w:fldChar w:fldCharType="begin"/>
      </w:r>
      <w:r>
        <w:instrText xml:space="preserve"> HYPERLINK \l "_Toc77270443" </w:instrText>
      </w:r>
      <w:r>
        <w:rPr/>
        <w:fldChar w:fldCharType="separate"/>
      </w:r>
      <w:r>
        <w:rPr>
          <w:rStyle w:val="style85"/>
          <w:noProof/>
          <w:lang w:val="en-US"/>
        </w:rPr>
        <w:t>l</w:t>
      </w:r>
      <w:r>
        <w:rPr>
          <w:rStyle w:val="style85"/>
          <w:noProof/>
        </w:rPr>
        <w:t xml:space="preserve">=0.021875 </w:t>
      </w:r>
      <w:r>
        <w:rPr>
          <w:rStyle w:val="style85"/>
          <w:noProof/>
          <w:lang w:val="en-US"/>
        </w:rPr>
        <w:t>m</w:t>
      </w:r>
      <w:r>
        <w:rPr>
          <w:noProof/>
          <w:webHidden/>
        </w:rPr>
        <w:tab/>
      </w:r>
      <w:r>
        <w:rPr>
          <w:noProof/>
          <w:webHidden/>
        </w:rPr>
        <w:fldChar w:fldCharType="begin"/>
      </w:r>
      <w:r>
        <w:rPr>
          <w:noProof/>
          <w:webHidden/>
        </w:rPr>
        <w:instrText xml:space="preserve"> PAGEREF _Toc77270443 \h </w:instrText>
      </w:r>
      <w:r>
        <w:rPr>
          <w:noProof/>
          <w:webHidden/>
        </w:rPr>
        <w:fldChar w:fldCharType="separate"/>
      </w:r>
      <w:r>
        <w:rPr>
          <w:noProof/>
          <w:webHidden/>
        </w:rPr>
        <w:t>29</w:t>
      </w:r>
      <w:r>
        <w:rPr>
          <w:noProof/>
          <w:webHidden/>
        </w:rPr>
        <w:fldChar w:fldCharType="end"/>
      </w:r>
      <w:r>
        <w:rPr/>
        <w:fldChar w:fldCharType="end"/>
      </w:r>
    </w:p>
    <w:p>
      <w:pPr>
        <w:pStyle w:val="style21"/>
        <w:tabs>
          <w:tab w:val="right" w:leader="dot" w:pos="8296"/>
        </w:tabs>
        <w:rPr>
          <w:rFonts w:eastAsia="宋体"/>
          <w:noProof/>
          <w:lang w:eastAsia="el-GR"/>
        </w:rPr>
      </w:pPr>
      <w:r>
        <w:rPr/>
        <w:fldChar w:fldCharType="begin"/>
      </w:r>
      <w:r>
        <w:instrText xml:space="preserve"> HYPERLINK \l "_Toc77270444" </w:instrText>
      </w:r>
      <w:r>
        <w:rPr/>
        <w:fldChar w:fldCharType="separate"/>
      </w:r>
      <w:r>
        <w:rPr>
          <w:rStyle w:val="style85"/>
          <w:noProof/>
          <w:lang w:val="en-US"/>
        </w:rPr>
        <w:t>l</w:t>
      </w:r>
      <w:r>
        <w:rPr>
          <w:rStyle w:val="style85"/>
          <w:noProof/>
        </w:rPr>
        <w:t xml:space="preserve">=0.028125 </w:t>
      </w:r>
      <w:r>
        <w:rPr>
          <w:rStyle w:val="style85"/>
          <w:noProof/>
          <w:lang w:val="en-US"/>
        </w:rPr>
        <w:t>m</w:t>
      </w:r>
      <w:r>
        <w:rPr>
          <w:noProof/>
          <w:webHidden/>
        </w:rPr>
        <w:tab/>
      </w:r>
      <w:r>
        <w:rPr>
          <w:noProof/>
          <w:webHidden/>
        </w:rPr>
        <w:fldChar w:fldCharType="begin"/>
      </w:r>
      <w:r>
        <w:rPr>
          <w:noProof/>
          <w:webHidden/>
        </w:rPr>
        <w:instrText xml:space="preserve"> PAGEREF _Toc77270444 \h </w:instrText>
      </w:r>
      <w:r>
        <w:rPr>
          <w:noProof/>
          <w:webHidden/>
        </w:rPr>
        <w:fldChar w:fldCharType="separate"/>
      </w:r>
      <w:r>
        <w:rPr>
          <w:noProof/>
          <w:webHidden/>
        </w:rPr>
        <w:t>30</w:t>
      </w:r>
      <w:r>
        <w:rPr>
          <w:noProof/>
          <w:webHidden/>
        </w:rPr>
        <w:fldChar w:fldCharType="end"/>
      </w:r>
      <w:r>
        <w:rPr/>
        <w:fldChar w:fldCharType="end"/>
      </w:r>
    </w:p>
    <w:p>
      <w:pPr>
        <w:pStyle w:val="style21"/>
        <w:tabs>
          <w:tab w:val="right" w:leader="dot" w:pos="8296"/>
        </w:tabs>
        <w:rPr>
          <w:rFonts w:eastAsia="宋体"/>
          <w:noProof/>
          <w:lang w:eastAsia="el-GR"/>
        </w:rPr>
      </w:pPr>
      <w:r>
        <w:rPr/>
        <w:fldChar w:fldCharType="begin"/>
      </w:r>
      <w:r>
        <w:instrText xml:space="preserve"> HYPERLINK \l "_Toc77270445" </w:instrText>
      </w:r>
      <w:r>
        <w:rPr/>
        <w:fldChar w:fldCharType="separate"/>
      </w:r>
      <w:r>
        <w:rPr>
          <w:rStyle w:val="style85"/>
          <w:noProof/>
          <w:lang w:val="en-US"/>
        </w:rPr>
        <w:t>l</w:t>
      </w:r>
      <w:r>
        <w:rPr>
          <w:rStyle w:val="style85"/>
          <w:noProof/>
        </w:rPr>
        <w:t xml:space="preserve">=0.03125 </w:t>
      </w:r>
      <w:r>
        <w:rPr>
          <w:rStyle w:val="style85"/>
          <w:noProof/>
          <w:lang w:val="en-US"/>
        </w:rPr>
        <w:t>m</w:t>
      </w:r>
      <w:r>
        <w:rPr>
          <w:noProof/>
          <w:webHidden/>
        </w:rPr>
        <w:tab/>
      </w:r>
      <w:r>
        <w:rPr>
          <w:noProof/>
          <w:webHidden/>
        </w:rPr>
        <w:fldChar w:fldCharType="begin"/>
      </w:r>
      <w:r>
        <w:rPr>
          <w:noProof/>
          <w:webHidden/>
        </w:rPr>
        <w:instrText xml:space="preserve"> PAGEREF _Toc77270445 \h </w:instrText>
      </w:r>
      <w:r>
        <w:rPr>
          <w:noProof/>
          <w:webHidden/>
        </w:rPr>
        <w:fldChar w:fldCharType="separate"/>
      </w:r>
      <w:r>
        <w:rPr>
          <w:noProof/>
          <w:webHidden/>
        </w:rPr>
        <w:t>31</w:t>
      </w:r>
      <w:r>
        <w:rPr>
          <w:noProof/>
          <w:webHidden/>
        </w:rPr>
        <w:fldChar w:fldCharType="end"/>
      </w:r>
      <w:r>
        <w:rPr/>
        <w:fldChar w:fldCharType="end"/>
      </w:r>
    </w:p>
    <w:p>
      <w:pPr>
        <w:pStyle w:val="style20"/>
        <w:tabs>
          <w:tab w:val="right" w:leader="dot" w:pos="8296"/>
        </w:tabs>
        <w:rPr>
          <w:rFonts w:eastAsia="宋体"/>
          <w:noProof/>
          <w:lang w:eastAsia="el-GR"/>
        </w:rPr>
      </w:pPr>
      <w:r>
        <w:rPr/>
        <w:fldChar w:fldCharType="begin"/>
      </w:r>
      <w:r>
        <w:instrText xml:space="preserve"> HYPERLINK \l "_Toc77270446" </w:instrText>
      </w:r>
      <w:r>
        <w:rPr/>
        <w:fldChar w:fldCharType="separate"/>
      </w:r>
      <w:r>
        <w:rPr>
          <w:rStyle w:val="style85"/>
          <w:noProof/>
        </w:rPr>
        <w:t>Προσομοίωση με παραμετροποίηση πυκνότητας κυκλικού εγκλείσματος (ρ)</w:t>
      </w:r>
      <w:r>
        <w:rPr>
          <w:noProof/>
          <w:webHidden/>
        </w:rPr>
        <w:tab/>
      </w:r>
      <w:r>
        <w:rPr>
          <w:noProof/>
          <w:webHidden/>
        </w:rPr>
        <w:fldChar w:fldCharType="begin"/>
      </w:r>
      <w:r>
        <w:rPr>
          <w:noProof/>
          <w:webHidden/>
        </w:rPr>
        <w:instrText xml:space="preserve"> PAGEREF _Toc77270446 \h </w:instrText>
      </w:r>
      <w:r>
        <w:rPr>
          <w:noProof/>
          <w:webHidden/>
        </w:rPr>
        <w:fldChar w:fldCharType="separate"/>
      </w:r>
      <w:r>
        <w:rPr>
          <w:noProof/>
          <w:webHidden/>
        </w:rPr>
        <w:t>32</w:t>
      </w:r>
      <w:r>
        <w:rPr>
          <w:noProof/>
          <w:webHidden/>
        </w:rPr>
        <w:fldChar w:fldCharType="end"/>
      </w:r>
      <w:r>
        <w:rPr/>
        <w:fldChar w:fldCharType="end"/>
      </w:r>
    </w:p>
    <w:p>
      <w:pPr>
        <w:pStyle w:val="style21"/>
        <w:tabs>
          <w:tab w:val="right" w:leader="dot" w:pos="8296"/>
        </w:tabs>
        <w:rPr>
          <w:rFonts w:eastAsia="宋体"/>
          <w:noProof/>
          <w:lang w:eastAsia="el-GR"/>
        </w:rPr>
      </w:pPr>
      <w:r>
        <w:rPr/>
        <w:fldChar w:fldCharType="begin"/>
      </w:r>
      <w:r>
        <w:instrText xml:space="preserve"> HYPERLINK \l "_Toc77270447" </w:instrText>
      </w:r>
      <w:r>
        <w:rPr/>
        <w:fldChar w:fldCharType="separate"/>
      </w:r>
      <w:r>
        <w:rPr>
          <w:rStyle w:val="style85"/>
          <w:noProof/>
        </w:rPr>
        <w:t xml:space="preserve">ρ=7160 </w:t>
      </w:r>
      <w:r>
        <w:rPr>
          <w:rStyle w:val="style85"/>
          <w:noProof/>
          <w:lang w:val="en-US"/>
        </w:rPr>
        <w:t>kg</w:t>
      </w:r>
      <w:r>
        <w:rPr>
          <w:rStyle w:val="style85"/>
          <w:noProof/>
        </w:rPr>
        <w:t>/</w:t>
      </w:r>
      <w:r>
        <w:rPr>
          <w:rStyle w:val="style85"/>
          <w:noProof/>
          <w:lang w:val="en-US"/>
        </w:rPr>
        <w:t>m</w:t>
      </w:r>
      <w:r>
        <w:rPr>
          <w:rStyle w:val="style85"/>
          <w:noProof/>
          <w:vertAlign w:val="superscript"/>
        </w:rPr>
        <w:t>3</w:t>
      </w:r>
      <w:r>
        <w:rPr>
          <w:noProof/>
          <w:webHidden/>
        </w:rPr>
        <w:tab/>
      </w:r>
      <w:r>
        <w:rPr>
          <w:noProof/>
          <w:webHidden/>
        </w:rPr>
        <w:fldChar w:fldCharType="begin"/>
      </w:r>
      <w:r>
        <w:rPr>
          <w:noProof/>
          <w:webHidden/>
        </w:rPr>
        <w:instrText xml:space="preserve"> PAGEREF _Toc77270447 \h </w:instrText>
      </w:r>
      <w:r>
        <w:rPr>
          <w:noProof/>
          <w:webHidden/>
        </w:rPr>
        <w:fldChar w:fldCharType="separate"/>
      </w:r>
      <w:r>
        <w:rPr>
          <w:noProof/>
          <w:webHidden/>
        </w:rPr>
        <w:t>32</w:t>
      </w:r>
      <w:r>
        <w:rPr>
          <w:noProof/>
          <w:webHidden/>
        </w:rPr>
        <w:fldChar w:fldCharType="end"/>
      </w:r>
      <w:r>
        <w:rPr/>
        <w:fldChar w:fldCharType="end"/>
      </w:r>
    </w:p>
    <w:p>
      <w:pPr>
        <w:pStyle w:val="style21"/>
        <w:tabs>
          <w:tab w:val="right" w:leader="dot" w:pos="8296"/>
        </w:tabs>
        <w:rPr>
          <w:rFonts w:eastAsia="宋体"/>
          <w:noProof/>
          <w:lang w:eastAsia="el-GR"/>
        </w:rPr>
      </w:pPr>
      <w:r>
        <w:rPr/>
        <w:fldChar w:fldCharType="begin"/>
      </w:r>
      <w:r>
        <w:instrText xml:space="preserve"> HYPERLINK \l "_Toc77270448" </w:instrText>
      </w:r>
      <w:r>
        <w:rPr/>
        <w:fldChar w:fldCharType="separate"/>
      </w:r>
      <w:r>
        <w:rPr>
          <w:rStyle w:val="style85"/>
          <w:noProof/>
        </w:rPr>
        <w:t xml:space="preserve">ρ= 8060 </w:t>
      </w:r>
      <w:r>
        <w:rPr>
          <w:rStyle w:val="style85"/>
          <w:noProof/>
          <w:lang w:val="en-US"/>
        </w:rPr>
        <w:t>kg</w:t>
      </w:r>
      <w:r>
        <w:rPr>
          <w:rStyle w:val="style85"/>
          <w:noProof/>
        </w:rPr>
        <w:t>/</w:t>
      </w:r>
      <w:r>
        <w:rPr>
          <w:rStyle w:val="style85"/>
          <w:noProof/>
          <w:lang w:val="en-US"/>
        </w:rPr>
        <w:t>m</w:t>
      </w:r>
      <w:r>
        <w:rPr>
          <w:rStyle w:val="style85"/>
          <w:noProof/>
          <w:vertAlign w:val="superscript"/>
        </w:rPr>
        <w:t>3</w:t>
      </w:r>
      <w:r>
        <w:rPr>
          <w:noProof/>
          <w:webHidden/>
        </w:rPr>
        <w:tab/>
      </w:r>
      <w:r>
        <w:rPr>
          <w:noProof/>
          <w:webHidden/>
        </w:rPr>
        <w:fldChar w:fldCharType="begin"/>
      </w:r>
      <w:r>
        <w:rPr>
          <w:noProof/>
          <w:webHidden/>
        </w:rPr>
        <w:instrText xml:space="preserve"> PAGEREF _Toc77270448 \h </w:instrText>
      </w:r>
      <w:r>
        <w:rPr>
          <w:noProof/>
          <w:webHidden/>
        </w:rPr>
        <w:fldChar w:fldCharType="separate"/>
      </w:r>
      <w:r>
        <w:rPr>
          <w:noProof/>
          <w:webHidden/>
        </w:rPr>
        <w:t>33</w:t>
      </w:r>
      <w:r>
        <w:rPr>
          <w:noProof/>
          <w:webHidden/>
        </w:rPr>
        <w:fldChar w:fldCharType="end"/>
      </w:r>
      <w:r>
        <w:rPr/>
        <w:fldChar w:fldCharType="end"/>
      </w:r>
    </w:p>
    <w:p>
      <w:pPr>
        <w:pStyle w:val="style21"/>
        <w:tabs>
          <w:tab w:val="right" w:leader="dot" w:pos="8296"/>
        </w:tabs>
        <w:rPr>
          <w:rFonts w:eastAsia="宋体"/>
          <w:noProof/>
          <w:lang w:eastAsia="el-GR"/>
        </w:rPr>
      </w:pPr>
      <w:r>
        <w:rPr/>
        <w:fldChar w:fldCharType="begin"/>
      </w:r>
      <w:r>
        <w:instrText xml:space="preserve"> HYPERLINK \l "_Toc77270449" </w:instrText>
      </w:r>
      <w:r>
        <w:rPr/>
        <w:fldChar w:fldCharType="separate"/>
      </w:r>
      <w:r>
        <w:rPr>
          <w:rStyle w:val="style85"/>
          <w:noProof/>
        </w:rPr>
        <w:t>ρ=9860</w:t>
      </w:r>
      <w:r>
        <w:rPr>
          <w:rStyle w:val="style85"/>
          <w:noProof/>
          <w:lang w:val="en-US"/>
        </w:rPr>
        <w:t>kg</w:t>
      </w:r>
      <w:r>
        <w:rPr>
          <w:rStyle w:val="style85"/>
          <w:noProof/>
        </w:rPr>
        <w:t>/</w:t>
      </w:r>
      <w:r>
        <w:rPr>
          <w:rStyle w:val="style85"/>
          <w:noProof/>
          <w:lang w:val="en-US"/>
        </w:rPr>
        <w:t>m</w:t>
      </w:r>
      <w:r>
        <w:rPr>
          <w:rStyle w:val="style85"/>
          <w:noProof/>
          <w:vertAlign w:val="superscript"/>
        </w:rPr>
        <w:t>3</w:t>
      </w:r>
      <w:r>
        <w:rPr>
          <w:noProof/>
          <w:webHidden/>
        </w:rPr>
        <w:tab/>
      </w:r>
      <w:r>
        <w:rPr>
          <w:noProof/>
          <w:webHidden/>
        </w:rPr>
        <w:fldChar w:fldCharType="begin"/>
      </w:r>
      <w:r>
        <w:rPr>
          <w:noProof/>
          <w:webHidden/>
        </w:rPr>
        <w:instrText xml:space="preserve"> PAGEREF _Toc77270449 \h </w:instrText>
      </w:r>
      <w:r>
        <w:rPr>
          <w:noProof/>
          <w:webHidden/>
        </w:rPr>
        <w:fldChar w:fldCharType="separate"/>
      </w:r>
      <w:r>
        <w:rPr>
          <w:noProof/>
          <w:webHidden/>
        </w:rPr>
        <w:t>34</w:t>
      </w:r>
      <w:r>
        <w:rPr>
          <w:noProof/>
          <w:webHidden/>
        </w:rPr>
        <w:fldChar w:fldCharType="end"/>
      </w:r>
      <w:r>
        <w:rPr/>
        <w:fldChar w:fldCharType="end"/>
      </w:r>
    </w:p>
    <w:p>
      <w:pPr>
        <w:pStyle w:val="style21"/>
        <w:tabs>
          <w:tab w:val="right" w:leader="dot" w:pos="8296"/>
        </w:tabs>
        <w:rPr>
          <w:rFonts w:eastAsia="宋体"/>
          <w:noProof/>
          <w:lang w:eastAsia="el-GR"/>
        </w:rPr>
      </w:pPr>
      <w:r>
        <w:rPr/>
        <w:fldChar w:fldCharType="begin"/>
      </w:r>
      <w:r>
        <w:instrText xml:space="preserve"> HYPERLINK \l "_Toc77270450" </w:instrText>
      </w:r>
      <w:r>
        <w:rPr/>
        <w:fldChar w:fldCharType="separate"/>
      </w:r>
      <w:r>
        <w:rPr>
          <w:rStyle w:val="style85"/>
          <w:noProof/>
        </w:rPr>
        <w:t>ρ=10760</w:t>
      </w:r>
      <w:r>
        <w:rPr>
          <w:rStyle w:val="style85"/>
          <w:noProof/>
          <w:lang w:val="en-US"/>
        </w:rPr>
        <w:t>kg</w:t>
      </w:r>
      <w:r>
        <w:rPr>
          <w:rStyle w:val="style85"/>
          <w:noProof/>
        </w:rPr>
        <w:t>/</w:t>
      </w:r>
      <w:r>
        <w:rPr>
          <w:rStyle w:val="style85"/>
          <w:noProof/>
          <w:lang w:val="en-US"/>
        </w:rPr>
        <w:t>m</w:t>
      </w:r>
      <w:r>
        <w:rPr>
          <w:rStyle w:val="style85"/>
          <w:noProof/>
          <w:vertAlign w:val="superscript"/>
        </w:rPr>
        <w:t>3</w:t>
      </w:r>
      <w:r>
        <w:rPr>
          <w:noProof/>
          <w:webHidden/>
        </w:rPr>
        <w:tab/>
      </w:r>
      <w:r>
        <w:rPr>
          <w:noProof/>
          <w:webHidden/>
        </w:rPr>
        <w:fldChar w:fldCharType="begin"/>
      </w:r>
      <w:r>
        <w:rPr>
          <w:noProof/>
          <w:webHidden/>
        </w:rPr>
        <w:instrText xml:space="preserve"> PAGEREF _Toc77270450 \h </w:instrText>
      </w:r>
      <w:r>
        <w:rPr>
          <w:noProof/>
          <w:webHidden/>
        </w:rPr>
        <w:fldChar w:fldCharType="separate"/>
      </w:r>
      <w:r>
        <w:rPr>
          <w:noProof/>
          <w:webHidden/>
        </w:rPr>
        <w:t>35</w:t>
      </w:r>
      <w:r>
        <w:rPr>
          <w:noProof/>
          <w:webHidden/>
        </w:rPr>
        <w:fldChar w:fldCharType="end"/>
      </w:r>
      <w:r>
        <w:rPr/>
        <w:fldChar w:fldCharType="end"/>
      </w:r>
    </w:p>
    <w:p>
      <w:pPr>
        <w:pStyle w:val="style19"/>
        <w:tabs>
          <w:tab w:val="right" w:leader="dot" w:pos="8296"/>
        </w:tabs>
        <w:rPr>
          <w:rFonts w:eastAsia="宋体"/>
          <w:noProof/>
          <w:lang w:eastAsia="el-GR"/>
        </w:rPr>
      </w:pPr>
      <w:r>
        <w:rPr/>
        <w:fldChar w:fldCharType="begin"/>
      </w:r>
      <w:r>
        <w:instrText xml:space="preserve"> HYPERLINK \l "_Toc77270451" </w:instrText>
      </w:r>
      <w:r>
        <w:rPr/>
        <w:fldChar w:fldCharType="separate"/>
      </w:r>
      <w:r>
        <w:rPr>
          <w:rStyle w:val="style85"/>
          <w:noProof/>
        </w:rPr>
        <w:t>Κεφάλαιο 7 – Προσομοίωση φόρτισης δομής 10</w:t>
      </w:r>
      <w:r>
        <w:rPr>
          <w:rStyle w:val="style85"/>
          <w:noProof/>
          <w:lang w:val="en-US"/>
        </w:rPr>
        <w:t>x</w:t>
      </w:r>
      <w:r>
        <w:rPr>
          <w:rStyle w:val="style85"/>
          <w:noProof/>
        </w:rPr>
        <w:t>10</w:t>
      </w:r>
      <w:r>
        <w:rPr>
          <w:noProof/>
          <w:webHidden/>
        </w:rPr>
        <w:tab/>
      </w:r>
      <w:r>
        <w:rPr>
          <w:noProof/>
          <w:webHidden/>
        </w:rPr>
        <w:fldChar w:fldCharType="begin"/>
      </w:r>
      <w:r>
        <w:rPr>
          <w:noProof/>
          <w:webHidden/>
        </w:rPr>
        <w:instrText xml:space="preserve"> PAGEREF _Toc77270451 \h </w:instrText>
      </w:r>
      <w:r>
        <w:rPr>
          <w:noProof/>
          <w:webHidden/>
        </w:rPr>
        <w:fldChar w:fldCharType="separate"/>
      </w:r>
      <w:r>
        <w:rPr>
          <w:noProof/>
          <w:webHidden/>
        </w:rPr>
        <w:t>36</w:t>
      </w:r>
      <w:r>
        <w:rPr>
          <w:noProof/>
          <w:webHidden/>
        </w:rPr>
        <w:fldChar w:fldCharType="end"/>
      </w:r>
      <w:r>
        <w:rPr/>
        <w:fldChar w:fldCharType="end"/>
      </w:r>
    </w:p>
    <w:p>
      <w:pPr>
        <w:pStyle w:val="style19"/>
        <w:tabs>
          <w:tab w:val="right" w:leader="dot" w:pos="8296"/>
        </w:tabs>
        <w:rPr>
          <w:rFonts w:eastAsia="宋体"/>
          <w:noProof/>
          <w:lang w:eastAsia="el-GR"/>
        </w:rPr>
      </w:pPr>
      <w:r>
        <w:rPr/>
        <w:fldChar w:fldCharType="begin"/>
      </w:r>
      <w:r>
        <w:instrText xml:space="preserve"> HYPERLINK \l "_Toc77270452" </w:instrText>
      </w:r>
      <w:r>
        <w:rPr/>
        <w:fldChar w:fldCharType="separate"/>
      </w:r>
      <w:r>
        <w:rPr>
          <w:rStyle w:val="style85"/>
          <w:noProof/>
        </w:rPr>
        <w:t>Κεφάλαιο 8 – Συμπεράσματα</w:t>
      </w:r>
      <w:r>
        <w:rPr>
          <w:noProof/>
          <w:webHidden/>
        </w:rPr>
        <w:tab/>
      </w:r>
      <w:r>
        <w:rPr>
          <w:noProof/>
          <w:webHidden/>
        </w:rPr>
        <w:fldChar w:fldCharType="begin"/>
      </w:r>
      <w:r>
        <w:rPr>
          <w:noProof/>
          <w:webHidden/>
        </w:rPr>
        <w:instrText xml:space="preserve"> PAGEREF _Toc77270452 \h </w:instrText>
      </w:r>
      <w:r>
        <w:rPr>
          <w:noProof/>
          <w:webHidden/>
        </w:rPr>
        <w:fldChar w:fldCharType="separate"/>
      </w:r>
      <w:r>
        <w:rPr>
          <w:noProof/>
          <w:webHidden/>
        </w:rPr>
        <w:t>49</w:t>
      </w:r>
      <w:r>
        <w:rPr>
          <w:noProof/>
          <w:webHidden/>
        </w:rPr>
        <w:fldChar w:fldCharType="end"/>
      </w:r>
      <w:r>
        <w:rPr/>
        <w:fldChar w:fldCharType="end"/>
      </w:r>
    </w:p>
    <w:p>
      <w:pPr>
        <w:pStyle w:val="style20"/>
        <w:tabs>
          <w:tab w:val="right" w:leader="dot" w:pos="8296"/>
        </w:tabs>
        <w:rPr>
          <w:rFonts w:eastAsia="宋体"/>
          <w:noProof/>
          <w:lang w:eastAsia="el-GR"/>
        </w:rPr>
      </w:pPr>
      <w:r>
        <w:rPr/>
        <w:fldChar w:fldCharType="begin"/>
      </w:r>
      <w:r>
        <w:instrText xml:space="preserve"> HYPERLINK \l "_Toc77270453" </w:instrText>
      </w:r>
      <w:r>
        <w:rPr/>
        <w:fldChar w:fldCharType="separate"/>
      </w:r>
      <w:r>
        <w:rPr>
          <w:rStyle w:val="style85"/>
          <w:noProof/>
        </w:rPr>
        <w:t>Παραμετροποίηση ακτίνας σκελετού (</w:t>
      </w:r>
      <w:r>
        <w:rPr>
          <w:rStyle w:val="style85"/>
          <w:noProof/>
          <w:lang w:val="en-US"/>
        </w:rPr>
        <w:t>r</w:t>
      </w:r>
      <w:r>
        <w:rPr>
          <w:rStyle w:val="style85"/>
          <w:noProof/>
        </w:rPr>
        <w:t>)</w:t>
      </w:r>
      <w:r>
        <w:rPr>
          <w:noProof/>
          <w:webHidden/>
        </w:rPr>
        <w:tab/>
      </w:r>
      <w:r>
        <w:rPr>
          <w:noProof/>
          <w:webHidden/>
        </w:rPr>
        <w:fldChar w:fldCharType="begin"/>
      </w:r>
      <w:r>
        <w:rPr>
          <w:noProof/>
          <w:webHidden/>
        </w:rPr>
        <w:instrText xml:space="preserve"> PAGEREF _Toc77270453 \h </w:instrText>
      </w:r>
      <w:r>
        <w:rPr>
          <w:noProof/>
          <w:webHidden/>
        </w:rPr>
        <w:fldChar w:fldCharType="separate"/>
      </w:r>
      <w:r>
        <w:rPr>
          <w:noProof/>
          <w:webHidden/>
        </w:rPr>
        <w:t>49</w:t>
      </w:r>
      <w:r>
        <w:rPr>
          <w:noProof/>
          <w:webHidden/>
        </w:rPr>
        <w:fldChar w:fldCharType="end"/>
      </w:r>
      <w:r>
        <w:rPr/>
        <w:fldChar w:fldCharType="end"/>
      </w:r>
    </w:p>
    <w:p>
      <w:pPr>
        <w:pStyle w:val="style20"/>
        <w:tabs>
          <w:tab w:val="right" w:leader="dot" w:pos="8296"/>
        </w:tabs>
        <w:rPr>
          <w:rFonts w:eastAsia="宋体"/>
          <w:noProof/>
          <w:lang w:eastAsia="el-GR"/>
        </w:rPr>
      </w:pPr>
      <w:r>
        <w:rPr/>
        <w:fldChar w:fldCharType="begin"/>
      </w:r>
      <w:r>
        <w:instrText xml:space="preserve"> HYPERLINK \l "_Toc77270454" </w:instrText>
      </w:r>
      <w:r>
        <w:rPr/>
        <w:fldChar w:fldCharType="separate"/>
      </w:r>
      <w:r>
        <w:rPr>
          <w:rStyle w:val="style85"/>
          <w:noProof/>
        </w:rPr>
        <w:t>Παραμετροποίηση μήκους άρθρωσης σκελετού (</w:t>
      </w:r>
      <w:r>
        <w:rPr>
          <w:rStyle w:val="style85"/>
          <w:noProof/>
          <w:lang w:val="en-US"/>
        </w:rPr>
        <w:t>l</w:t>
      </w:r>
      <w:r>
        <w:rPr>
          <w:rStyle w:val="style85"/>
          <w:noProof/>
        </w:rPr>
        <w:t>)</w:t>
      </w:r>
      <w:r>
        <w:rPr>
          <w:noProof/>
          <w:webHidden/>
        </w:rPr>
        <w:tab/>
      </w:r>
      <w:r>
        <w:rPr>
          <w:noProof/>
          <w:webHidden/>
        </w:rPr>
        <w:fldChar w:fldCharType="begin"/>
      </w:r>
      <w:r>
        <w:rPr>
          <w:noProof/>
          <w:webHidden/>
        </w:rPr>
        <w:instrText xml:space="preserve"> PAGEREF _Toc77270454 \h </w:instrText>
      </w:r>
      <w:r>
        <w:rPr>
          <w:noProof/>
          <w:webHidden/>
        </w:rPr>
        <w:fldChar w:fldCharType="separate"/>
      </w:r>
      <w:r>
        <w:rPr>
          <w:noProof/>
          <w:webHidden/>
        </w:rPr>
        <w:t>50</w:t>
      </w:r>
      <w:r>
        <w:rPr>
          <w:noProof/>
          <w:webHidden/>
        </w:rPr>
        <w:fldChar w:fldCharType="end"/>
      </w:r>
      <w:r>
        <w:rPr/>
        <w:fldChar w:fldCharType="end"/>
      </w:r>
    </w:p>
    <w:p>
      <w:pPr>
        <w:pStyle w:val="style20"/>
        <w:tabs>
          <w:tab w:val="right" w:leader="dot" w:pos="8296"/>
        </w:tabs>
        <w:rPr>
          <w:rFonts w:eastAsia="宋体"/>
          <w:noProof/>
          <w:lang w:eastAsia="el-GR"/>
        </w:rPr>
      </w:pPr>
      <w:r>
        <w:rPr/>
        <w:fldChar w:fldCharType="begin"/>
      </w:r>
      <w:r>
        <w:instrText xml:space="preserve"> HYPERLINK \l "_Toc77270455" </w:instrText>
      </w:r>
      <w:r>
        <w:rPr/>
        <w:fldChar w:fldCharType="separate"/>
      </w:r>
      <w:r>
        <w:rPr>
          <w:rStyle w:val="style85"/>
          <w:noProof/>
        </w:rPr>
        <w:t>Παραμετροποίηση πυκνότητας κυκλικού εγκλείσματος (ρ)</w:t>
      </w:r>
      <w:r>
        <w:rPr>
          <w:noProof/>
          <w:webHidden/>
        </w:rPr>
        <w:tab/>
      </w:r>
      <w:r>
        <w:rPr>
          <w:noProof/>
          <w:webHidden/>
        </w:rPr>
        <w:fldChar w:fldCharType="begin"/>
      </w:r>
      <w:r>
        <w:rPr>
          <w:noProof/>
          <w:webHidden/>
        </w:rPr>
        <w:instrText xml:space="preserve"> PAGEREF _Toc77270455 \h </w:instrText>
      </w:r>
      <w:r>
        <w:rPr>
          <w:noProof/>
          <w:webHidden/>
        </w:rPr>
        <w:fldChar w:fldCharType="separate"/>
      </w:r>
      <w:r>
        <w:rPr>
          <w:noProof/>
          <w:webHidden/>
        </w:rPr>
        <w:t>51</w:t>
      </w:r>
      <w:r>
        <w:rPr>
          <w:noProof/>
          <w:webHidden/>
        </w:rPr>
        <w:fldChar w:fldCharType="end"/>
      </w:r>
      <w:r>
        <w:rPr/>
        <w:fldChar w:fldCharType="end"/>
      </w:r>
    </w:p>
    <w:p>
      <w:pPr>
        <w:pStyle w:val="style19"/>
        <w:tabs>
          <w:tab w:val="right" w:leader="dot" w:pos="8296"/>
        </w:tabs>
        <w:rPr>
          <w:rFonts w:eastAsia="宋体"/>
          <w:noProof/>
          <w:lang w:eastAsia="el-GR"/>
        </w:rPr>
      </w:pPr>
      <w:r>
        <w:rPr/>
        <w:fldChar w:fldCharType="begin"/>
      </w:r>
      <w:r>
        <w:instrText xml:space="preserve"> HYPERLINK \l "_Toc77270456" </w:instrText>
      </w:r>
      <w:r>
        <w:rPr/>
        <w:fldChar w:fldCharType="separate"/>
      </w:r>
      <w:r>
        <w:rPr>
          <w:rStyle w:val="style85"/>
          <w:noProof/>
        </w:rPr>
        <w:t>Κεφάλαιο 9 – Προτάσεις για περαιτέρω διερεύνηση</w:t>
      </w:r>
      <w:r>
        <w:rPr>
          <w:noProof/>
          <w:webHidden/>
        </w:rPr>
        <w:tab/>
      </w:r>
      <w:r>
        <w:rPr>
          <w:noProof/>
          <w:webHidden/>
        </w:rPr>
        <w:fldChar w:fldCharType="begin"/>
      </w:r>
      <w:r>
        <w:rPr>
          <w:noProof/>
          <w:webHidden/>
        </w:rPr>
        <w:instrText xml:space="preserve"> PAGEREF _Toc77270456 \h </w:instrText>
      </w:r>
      <w:r>
        <w:rPr>
          <w:noProof/>
          <w:webHidden/>
        </w:rPr>
        <w:fldChar w:fldCharType="separate"/>
      </w:r>
      <w:r>
        <w:rPr>
          <w:noProof/>
          <w:webHidden/>
        </w:rPr>
        <w:t>52</w:t>
      </w:r>
      <w:r>
        <w:rPr>
          <w:noProof/>
          <w:webHidden/>
        </w:rPr>
        <w:fldChar w:fldCharType="end"/>
      </w:r>
      <w:r>
        <w:rPr/>
        <w:fldChar w:fldCharType="end"/>
      </w:r>
    </w:p>
    <w:p>
      <w:pPr>
        <w:pStyle w:val="style19"/>
        <w:tabs>
          <w:tab w:val="right" w:leader="dot" w:pos="8296"/>
        </w:tabs>
        <w:rPr>
          <w:rFonts w:eastAsia="宋体"/>
          <w:noProof/>
          <w:lang w:eastAsia="el-GR"/>
        </w:rPr>
      </w:pPr>
      <w:r>
        <w:rPr/>
        <w:fldChar w:fldCharType="begin"/>
      </w:r>
      <w:r>
        <w:instrText xml:space="preserve"> HYPERLINK \l "_Toc77270457" </w:instrText>
      </w:r>
      <w:r>
        <w:rPr/>
        <w:fldChar w:fldCharType="separate"/>
      </w:r>
      <w:r>
        <w:rPr>
          <w:rStyle w:val="style85"/>
          <w:noProof/>
        </w:rPr>
        <w:t>Αναφορές</w:t>
      </w:r>
      <w:r>
        <w:rPr>
          <w:noProof/>
          <w:webHidden/>
        </w:rPr>
        <w:tab/>
      </w:r>
      <w:r>
        <w:rPr>
          <w:noProof/>
          <w:webHidden/>
        </w:rPr>
        <w:fldChar w:fldCharType="begin"/>
      </w:r>
      <w:r>
        <w:rPr>
          <w:noProof/>
          <w:webHidden/>
        </w:rPr>
        <w:instrText xml:space="preserve"> PAGEREF _Toc77270457 \h </w:instrText>
      </w:r>
      <w:r>
        <w:rPr>
          <w:noProof/>
          <w:webHidden/>
        </w:rPr>
        <w:fldChar w:fldCharType="separate"/>
      </w:r>
      <w:r>
        <w:rPr>
          <w:noProof/>
          <w:webHidden/>
        </w:rPr>
        <w:t>53</w:t>
      </w:r>
      <w:r>
        <w:rPr>
          <w:noProof/>
          <w:webHidden/>
        </w:rPr>
        <w:fldChar w:fldCharType="end"/>
      </w:r>
      <w:r>
        <w:rPr/>
        <w:fldChar w:fldCharType="end"/>
      </w:r>
    </w:p>
    <w:p>
      <w:pPr>
        <w:pStyle w:val="style0"/>
        <w:rPr/>
      </w:pPr>
      <w:r>
        <w:rPr>
          <w:b/>
          <w:bCs/>
        </w:rPr>
        <w:fldChar w:fldCharType="end"/>
      </w:r>
    </w:p>
    <w:p>
      <w:pPr>
        <w:pStyle w:val="style0"/>
        <w:rPr>
          <w:rFonts w:ascii="Calibri Light" w:cs="宋体" w:eastAsia="宋体" w:hAnsi="Calibri Light"/>
          <w:color w:val="2f5496"/>
          <w:sz w:val="32"/>
          <w:szCs w:val="32"/>
        </w:rPr>
      </w:pPr>
      <w:r>
        <w:br w:type="page"/>
      </w:r>
    </w:p>
    <w:bookmarkStart w:id="1" w:name="_Toc77270417"/>
    <w:p>
      <w:pPr>
        <w:pStyle w:val="style1"/>
        <w:rPr/>
      </w:pPr>
      <w:r>
        <w:t>Ευχαριστίες</w:t>
      </w:r>
      <w:bookmarkEnd w:id="0"/>
      <w:bookmarkEnd w:id="1"/>
    </w:p>
    <w:p>
      <w:pPr>
        <w:pStyle w:val="style0"/>
        <w:rPr/>
      </w:pPr>
    </w:p>
    <w:p>
      <w:pPr>
        <w:pStyle w:val="style0"/>
        <w:rPr/>
      </w:pPr>
      <w:r>
        <w:t xml:space="preserve">Θα ήθελα να ευχαριστήσω τον επιβλέποντα καθηγητή κ. Σταυρουλάκη Γεώργιο για την ανάθεση, την βοήθεια και την συνεργασία που είχαμε. Έπειτα, θα ήθελα να ευχαριστήσω τον Δρ. </w:t>
      </w:r>
      <w:r>
        <w:t>Κουτσιανίτη</w:t>
      </w:r>
      <w:r>
        <w:t xml:space="preserve"> Παναγιώτη για την βοήθεια, καθοδήγηση και συμβουλές του και την αμέριστη κατανόηση του αυτή την δύσκολή περίοδο, όπως και τον Δρ. </w:t>
      </w:r>
      <w:r>
        <w:t>Ταϊρίδη</w:t>
      </w:r>
      <w:r>
        <w:t xml:space="preserve"> Γεώργιο.</w:t>
      </w:r>
      <w:r>
        <w:t xml:space="preserve"> </w:t>
      </w:r>
      <w:r>
        <w:t>Τέλος, θα ήθελα να ευχαριστήσω την οικογένεια μου για την αμέριστη υποστήριξη τους κατά την διάρκεια των σπουδών μου.</w:t>
      </w:r>
    </w:p>
    <w:p>
      <w:pPr>
        <w:pStyle w:val="style0"/>
        <w:rPr/>
      </w:pPr>
      <w:r>
        <w:br w:type="page"/>
      </w:r>
    </w:p>
    <w:bookmarkStart w:id="2" w:name="_Toc66524588"/>
    <w:bookmarkStart w:id="3" w:name="_Toc77270418"/>
    <w:p>
      <w:pPr>
        <w:pStyle w:val="style1"/>
        <w:rPr/>
      </w:pPr>
      <w:r>
        <w:t>Περίληψη</w:t>
      </w:r>
      <w:bookmarkEnd w:id="2"/>
      <w:bookmarkEnd w:id="3"/>
    </w:p>
    <w:p>
      <w:pPr>
        <w:pStyle w:val="style0"/>
        <w:rPr/>
      </w:pPr>
    </w:p>
    <w:p>
      <w:pPr>
        <w:pStyle w:val="style0"/>
        <w:rPr/>
      </w:pPr>
      <w:r>
        <w:t xml:space="preserve">Κατά την διαδικασία της παραγωγής είναι επιτακτική η ανάγκη ορθής επιλογής υλικού, διότι αυτό καθορίζει την συμπεριφορά της κατασκευής. Έτσι, είναι αναγκαία η εύρεση και η αξιοποίηση νέων υλικών, που έχουν καλύτερες μηχανικές ιδιότητες. Ένα τέτοιο παράδειγμα είναι τα αυξητικά υλικά, που είναι μικροδομές, οι οποίες όταν υπόκεινται σε εφελκυσμό αντί να συρρικνώνονται επιμηκύνονται κάθετα στην κατεύθυνση του εφαρμοζόμενου φορτίου. Λόγω αυτής τους της ιδιότητας, χρίζουν περαιτέρω έρευνας και αξιοποίηση σε πιο ευρεία κλίμακα. Κατά την παρούσα εργασία θα γίνει μελέτη και εύρεση της ζώνης χάσματος </w:t>
      </w:r>
      <w:r>
        <w:t>(</w:t>
      </w:r>
      <w:r>
        <w:rPr>
          <w:lang w:val="en-US"/>
        </w:rPr>
        <w:t>band</w:t>
      </w:r>
      <w:r>
        <w:t xml:space="preserve"> </w:t>
      </w:r>
      <w:r>
        <w:rPr>
          <w:lang w:val="en-US"/>
        </w:rPr>
        <w:t>gap</w:t>
      </w:r>
      <w:r>
        <w:t>)</w:t>
      </w:r>
      <w:r>
        <w:t xml:space="preserve"> στη διάδοση κυμάτων σε τετραχειρόμορφες (</w:t>
      </w:r>
      <w:r>
        <w:rPr>
          <w:lang w:val="en-US"/>
        </w:rPr>
        <w:t>tetrachiral</w:t>
      </w:r>
      <w:r>
        <w:t xml:space="preserve">) </w:t>
      </w:r>
      <w:r>
        <w:t>μικροδομές αυξητικών υλικών με χρήση πεπερασμένων στοιχείων</w:t>
      </w:r>
      <w:r>
        <w:t>.</w:t>
      </w:r>
      <w:r>
        <w:t xml:space="preserve"> Θα δημιουργηθούν πολλαπλά μοντέλα  της δομής αυτής με διαφορετικές γεωμετρικές και δομικές παραμέτρους, θα συγκριθούν οι ζώνες χάσματος μεταξύ τους, όπως και οι μεταβολές που προκαλούν αυτές.</w:t>
      </w:r>
    </w:p>
    <w:p>
      <w:pPr>
        <w:pStyle w:val="style0"/>
        <w:rPr/>
      </w:pPr>
    </w:p>
    <w:bookmarkStart w:id="4" w:name="_Toc66524589"/>
    <w:bookmarkStart w:id="5" w:name="_Toc77270419"/>
    <w:p>
      <w:pPr>
        <w:pStyle w:val="style1"/>
        <w:rPr>
          <w:lang w:val="en-US"/>
        </w:rPr>
      </w:pPr>
      <w:r>
        <w:rPr>
          <w:lang w:val="en-US"/>
        </w:rPr>
        <w:t>Abstract</w:t>
      </w:r>
      <w:bookmarkEnd w:id="4"/>
      <w:bookmarkEnd w:id="5"/>
    </w:p>
    <w:p>
      <w:pPr>
        <w:pStyle w:val="style0"/>
        <w:rPr>
          <w:lang w:val="en-US"/>
        </w:rPr>
      </w:pPr>
    </w:p>
    <w:bookmarkStart w:id="6" w:name="_Toc66524590"/>
    <w:p>
      <w:pPr>
        <w:pStyle w:val="style0"/>
        <w:rPr>
          <w:rFonts w:ascii="Calibri Light" w:cs="宋体" w:eastAsia="宋体" w:hAnsi="Calibri Light"/>
          <w:color w:val="2f5496"/>
          <w:sz w:val="32"/>
          <w:szCs w:val="32"/>
          <w:lang w:val="en-US"/>
        </w:rPr>
      </w:pPr>
      <w:r>
        <w:rPr>
          <w:lang w:val="en-US"/>
        </w:rPr>
        <w:t>During</w:t>
      </w:r>
      <w:r>
        <w:rPr>
          <w:lang w:val="en-US"/>
        </w:rPr>
        <w:t xml:space="preserve"> </w:t>
      </w:r>
      <w:r>
        <w:rPr>
          <w:lang w:val="en-US"/>
        </w:rPr>
        <w:t>the manufacturing process, the right choice of material is imperative as this determines the behavior of the structure. Therefore, exploring and taking dull use of new materials, which possess better mechanical properties is essential. Such an example is auxetic materials, the microstructures which elongate towards the direction of applied load, instea</w:t>
      </w:r>
      <w:r>
        <w:rPr>
          <w:lang w:val="en-US"/>
        </w:rPr>
        <w:t xml:space="preserve">d of shrinking. As such, further research and a wider exploitation of these materials is required. This dissertation will be focused on the study and </w:t>
      </w:r>
      <w:r>
        <w:rPr>
          <w:lang w:val="en-US"/>
        </w:rPr>
        <w:t>discovery of the band gap of the wave propagation in tetrachiral microstructures of auxetic materials using finite element analysis. Multiple models of this structure with different geometric and structural parameters will be created; there will be a comparison among the band gaps as well as the changes they cause.</w:t>
      </w:r>
      <w:r>
        <w:rPr>
          <w:lang w:val="en-US"/>
        </w:rPr>
        <w:br w:type="page"/>
      </w:r>
    </w:p>
    <w:bookmarkStart w:id="7" w:name="_Toc77270420"/>
    <w:p>
      <w:pPr>
        <w:pStyle w:val="style1"/>
        <w:rPr/>
      </w:pPr>
      <w:r>
        <w:t>Κεφάλαιο</w:t>
      </w:r>
      <w:r>
        <w:t xml:space="preserve"> 1 – </w:t>
      </w:r>
      <w:r>
        <w:t>Γενικά</w:t>
      </w:r>
      <w:bookmarkStart w:id="8" w:name="_Toc66524591"/>
      <w:bookmarkEnd w:id="6"/>
      <w:bookmarkEnd w:id="7"/>
    </w:p>
    <w:p>
      <w:pPr>
        <w:pStyle w:val="style0"/>
        <w:rPr/>
      </w:pPr>
    </w:p>
    <w:bookmarkStart w:id="9" w:name="_Toc77270421"/>
    <w:p>
      <w:pPr>
        <w:pStyle w:val="style2"/>
        <w:rPr/>
      </w:pPr>
      <w:r>
        <w:t>Εισαγωγή</w:t>
      </w:r>
      <w:bookmarkEnd w:id="8"/>
      <w:bookmarkEnd w:id="9"/>
    </w:p>
    <w:bookmarkStart w:id="10" w:name="_Toc66524592"/>
    <w:p>
      <w:pPr>
        <w:pStyle w:val="style0"/>
        <w:rPr/>
      </w:pPr>
    </w:p>
    <w:p>
      <w:pPr>
        <w:pStyle w:val="style0"/>
        <w:rPr/>
      </w:pPr>
      <w:r>
        <w:t>Η ανάγκη της ανθρωπότητας να βρει νέες βέλτιστες τεχνικές μόνωσης</w:t>
      </w:r>
      <w:r>
        <w:t xml:space="preserve"> </w:t>
      </w:r>
      <w:r>
        <w:t>οδήγησε στην έρευνα και την δημιουργία των αυξητικών δομών και υλικών. Αυξητικά ονομάζονται τα υλικά που επιμηκύνονται κάθετα στην κατεύθυνσή του εφαρμοζόμενου φορτίου.</w:t>
      </w:r>
    </w:p>
    <w:p>
      <w:pPr>
        <w:pStyle w:val="style0"/>
        <w:rPr/>
      </w:pPr>
      <w:r>
        <w:t>Στην παρούσα μελέτη, έγινε έλεγχος της ικανότητας μόνωσης</w:t>
      </w:r>
      <w:r>
        <w:t xml:space="preserve"> και</w:t>
      </w:r>
      <w:r>
        <w:t xml:space="preserve"> </w:t>
      </w:r>
      <w:r>
        <w:t>της</w:t>
      </w:r>
      <w:r>
        <w:t xml:space="preserve"> ύπαρξης χάσματος συχνότητας μιας αυξητικής μικροδομής που αποτελείται από συγκεκριμένο συνδυασμό υλικών, της ασκήθηκε μια σταθερή δύναμ</w:t>
      </w:r>
      <w:r>
        <w:t>η</w:t>
      </w:r>
      <w:r>
        <w:t xml:space="preserve"> και ελέγχθηκε ένα τμήμα του φάσματος συχνοτήτων. Ως χάσμα συχνοτήτων, ορίζεται η περιοχή του φάσματος συχνοτήτων, όπου υπάρχει αδυναμία μετάδοσης ενός κύματος.</w:t>
      </w:r>
    </w:p>
    <w:p>
      <w:pPr>
        <w:pStyle w:val="style0"/>
        <w:rPr/>
      </w:pPr>
      <w:r>
        <w:t>Σίγουρα, σε επόμενες και πιο εξειδικευμένες μελέτες, με υλικά και δομές βελτιστοποιημένες για αυτόν τον σκοπό, θα επιτευχθούν αποτελέσματα που είναι είτε πιο οικονομικά, είτε με καλύτερη απόδοση προς τον σκοπό μελέτης. Αλλά για τώρα, βλέπουμε πως ακόμα και μια μη βέλτιστη γεωμετρία με μη βέλτιστα υλικά, είναι ικανή να δημιουργεί μια σεβαστή ποσότητα χασμάτων συχνοτήτων.</w:t>
      </w:r>
    </w:p>
    <w:p>
      <w:pPr>
        <w:pStyle w:val="style0"/>
        <w:rPr>
          <w:rFonts w:ascii="Calibri Light" w:cs="宋体" w:eastAsia="宋体" w:hAnsi="Calibri Light"/>
          <w:color w:val="2f5496"/>
          <w:sz w:val="26"/>
          <w:szCs w:val="26"/>
        </w:rPr>
      </w:pPr>
      <w:r>
        <w:t xml:space="preserve">Τέλος, πρέπει να αναφερθεί ότι όλη η διαδικασία έγινε σε θεωρητικό επίπεδο, για τους υπολογισμούς χρησιμοποιήθηκε ανάλυση πεπερασμένων στοιχείων, μέσω του προγράμματος </w:t>
      </w:r>
      <w:r>
        <w:rPr>
          <w:lang w:val="en-US"/>
        </w:rPr>
        <w:t>COMSOL</w:t>
      </w:r>
      <w:r>
        <w:t xml:space="preserve"> </w:t>
      </w:r>
      <w:r>
        <w:rPr>
          <w:lang w:val="en-US"/>
        </w:rPr>
        <w:t>Multiphysics</w:t>
      </w:r>
      <w:r>
        <w:t xml:space="preserve"> και δεν έγινε μελέτη για ενδεχόμενο κόστος δημιουργίας της κατασκευής.</w:t>
      </w:r>
      <w:r>
        <w:br w:type="page"/>
      </w:r>
    </w:p>
    <w:bookmarkStart w:id="11" w:name="_Toc77270422"/>
    <w:p>
      <w:pPr>
        <w:pStyle w:val="style2"/>
        <w:rPr/>
      </w:pPr>
      <w:r>
        <w:t>Σκοπός εργασίας</w:t>
      </w:r>
      <w:bookmarkEnd w:id="10"/>
      <w:bookmarkEnd w:id="11"/>
    </w:p>
    <w:p>
      <w:pPr>
        <w:pStyle w:val="style0"/>
        <w:rPr/>
      </w:pPr>
      <w:r>
        <w:t xml:space="preserve">Ο σκοπός της εργασίας, είναι αρχικά, να </w:t>
      </w:r>
      <w:r>
        <w:t>δημιουργηθεί μια περιοδική τετραχειρόμορφη δομή (</w:t>
      </w:r>
      <w:r>
        <w:rPr>
          <w:lang w:val="en-US"/>
        </w:rPr>
        <w:t>tetrachiral</w:t>
      </w:r>
      <w:r>
        <w:t>),</w:t>
      </w:r>
      <w:r>
        <w:t xml:space="preserve"> με συγκεκριμένες γεωμετρικές ιδιότητες</w:t>
      </w:r>
      <w:r>
        <w:t xml:space="preserve">, να βρεθούν οι πρώτες είκοσι ιδιοσυχνότητες αυτής, και τα ενδεχόμενα κενά ανάμεσα </w:t>
      </w:r>
      <w:r>
        <w:t>τους</w:t>
      </w:r>
      <w:r>
        <w:t>, σε κατάλληλο πρόγραμμα πεπερασμένων στοιχείων</w:t>
      </w:r>
      <w:r>
        <w:t>. Στη συνέχεια, να δημιουργηθεί ένα πεπερασμένο πλέγμα</w:t>
      </w:r>
      <w:r>
        <w:t xml:space="preserve"> της ίδιας δομής, να φορτιστεί και να μελετηθεί αν τα αποτελέσματα της περιοδικής δομής επαληθεύονται από την πεπερασμένη.</w:t>
      </w:r>
    </w:p>
    <w:p>
      <w:pPr>
        <w:pStyle w:val="style0"/>
        <w:rPr>
          <w:rFonts w:ascii="Calibri Light" w:cs="宋体" w:eastAsia="宋体" w:hAnsi="Calibri Light"/>
          <w:color w:val="2f5496"/>
          <w:sz w:val="26"/>
          <w:szCs w:val="26"/>
        </w:rPr>
      </w:pPr>
      <w:r>
        <w:t xml:space="preserve">Στόχος της εργασίας είναι </w:t>
      </w:r>
      <w:r>
        <w:t xml:space="preserve">η μελέτη σε θεωρητικό </w:t>
      </w:r>
      <w:r>
        <w:t>επίπεδο</w:t>
      </w:r>
      <w:r>
        <w:t xml:space="preserve"> μιας έτοιμης μη βελτιστοποιημένης</w:t>
      </w:r>
      <w:r>
        <w:t>, γεωμετρικά</w:t>
      </w:r>
      <w:r>
        <w:t xml:space="preserve"> δομής</w:t>
      </w:r>
      <w:r>
        <w:t xml:space="preserve">, ώστε στην συνέχεια να </w:t>
      </w:r>
      <w:r>
        <w:t xml:space="preserve">επαναληφθούν τα αποτελέσματα σε πειραματικό </w:t>
      </w:r>
      <w:r>
        <w:t>επίπεδο</w:t>
      </w:r>
      <w:r>
        <w:t xml:space="preserve"> και στη συνέχεια να βελτιστοποιηθούν για την χρήση τους </w:t>
      </w:r>
      <w:r>
        <w:t>στην καθημερινότητα.</w:t>
      </w:r>
      <w:r>
        <w:br w:type="page"/>
      </w:r>
    </w:p>
    <w:bookmarkStart w:id="12" w:name="_Toc66524593"/>
    <w:bookmarkStart w:id="13" w:name="_Toc77270423"/>
    <w:p>
      <w:pPr>
        <w:pStyle w:val="style1"/>
        <w:rPr/>
      </w:pPr>
      <w:r>
        <w:t>Κεφάλαιο 2 – Αυξητικά υλικά</w:t>
      </w:r>
      <w:bookmarkEnd w:id="12"/>
      <w:bookmarkEnd w:id="13"/>
    </w:p>
    <w:p>
      <w:pPr>
        <w:pStyle w:val="style0"/>
        <w:rPr/>
      </w:pPr>
    </w:p>
    <w:bookmarkStart w:id="14" w:name="_Toc77270424"/>
    <w:p>
      <w:pPr>
        <w:pStyle w:val="style2"/>
        <w:rPr/>
      </w:pPr>
      <w:r>
        <w:t>Γενική περιγραφή</w:t>
      </w:r>
      <w:bookmarkEnd w:id="14"/>
    </w:p>
    <w:p>
      <w:pPr>
        <w:pStyle w:val="style0"/>
        <w:rPr/>
      </w:pPr>
    </w:p>
    <w:p>
      <w:pPr>
        <w:pStyle w:val="style0"/>
        <w:rPr/>
      </w:pPr>
      <w:r>
        <w:t xml:space="preserve">Ο λόγος </w:t>
      </w:r>
      <w:r>
        <w:rPr>
          <w:lang w:val="en-US"/>
        </w:rPr>
        <w:t>Poisson</w:t>
      </w:r>
      <w:r>
        <w:t xml:space="preserve"> χρησιμοποιείται </w:t>
      </w:r>
      <w:r>
        <w:t xml:space="preserve">για να μετρηθεί η μεταβολή στο μήκος του κάθετου ως προς τον εφελκυσμό </w:t>
      </w:r>
      <w:r>
        <w:t xml:space="preserve">άξονα, είναι συνήθως θετικός αριθμός με τιμές </w:t>
      </w:r>
      <w:r>
        <w:t xml:space="preserve">που κυμαίνονται από 0&lt;ν&lt;0.5 και </w:t>
      </w:r>
      <w:r>
        <w:t xml:space="preserve">είναι </w:t>
      </w:r>
      <w:r>
        <w:t xml:space="preserve">το αρνητικό κλάσμα της εγκάρσιας </w:t>
      </w:r>
      <w:r>
        <w:t>τροπής</w:t>
      </w:r>
      <w:r>
        <w:t xml:space="preserve"> ως προς την </w:t>
      </w:r>
      <w:r>
        <w:t>αξονική</w:t>
      </w:r>
      <w:r>
        <w:t xml:space="preserve"> </w:t>
      </w:r>
      <w:r>
        <w:t>τροπ</w:t>
      </w:r>
      <w:r>
        <w:t>ή</w:t>
      </w:r>
      <w:r>
        <w:t>.</w:t>
      </w:r>
    </w:p>
    <w:p>
      <w:pPr>
        <w:pStyle w:val="style0"/>
        <w:rPr/>
      </w:pPr>
      <w:r>
        <w:t>Στα συμβατικά υλικά, όταν ασκηθεί εφελκυστικό φορτίο</w:t>
      </w:r>
      <w:r>
        <w:t>, παρατηρείται σμίκρυνση στην κάθετη, ως προς της παραμόρφωση</w:t>
      </w:r>
      <w:r>
        <w:t>,</w:t>
      </w:r>
      <w:r>
        <w:t xml:space="preserve"> διεύθυνση</w:t>
      </w:r>
      <w:r>
        <w:t>. Αντίθετα, στα αυξητικά υλικά, όταν ασκηθεί εφελκυστικό φορτίο</w:t>
      </w:r>
      <w:r>
        <w:t xml:space="preserve"> παρατηρείται επιμήκυνση στην κάθετη ως προς την φόρτιση διεύθυνση</w:t>
      </w:r>
      <w:r>
        <w:t xml:space="preserve">, για αυτό το λόγο, έχουν αρνητικό λόγο </w:t>
      </w:r>
      <w:r>
        <w:rPr>
          <w:lang w:val="en-US"/>
        </w:rPr>
        <w:t>Poisson</w:t>
      </w:r>
      <w:r>
        <w:t>.</w:t>
      </w:r>
    </w:p>
    <w:p>
      <w:pPr>
        <w:pStyle w:val="style0"/>
        <w:rPr/>
      </w:pPr>
      <w:r>
        <w:t xml:space="preserve">Τα αυξητικά υλικά είναι γνωστά και ως </w:t>
      </w:r>
      <w:r>
        <w:rPr>
          <w:lang w:val="en-US"/>
        </w:rPr>
        <w:t>anti</w:t>
      </w:r>
      <w:r>
        <w:t>-</w:t>
      </w:r>
      <w:r>
        <w:rPr>
          <w:lang w:val="en-US"/>
        </w:rPr>
        <w:t>rubber</w:t>
      </w:r>
      <w:r>
        <w:t xml:space="preserve"> (</w:t>
      </w:r>
      <w:r>
        <w:t>αντι-καουτσουκ</w:t>
      </w:r>
      <w:r>
        <w:t>), διότι σε αντίθεση με το καουτσούκ, που</w:t>
      </w:r>
      <w:r>
        <w:t xml:space="preserve"> το</w:t>
      </w:r>
      <w:r>
        <w:t xml:space="preserve"> πάχος του μειώνεται </w:t>
      </w:r>
      <w:r>
        <w:t>όταν τεντώνεται, σε αυτά αυξάνεται</w:t>
      </w:r>
      <w:r>
        <w:t xml:space="preserve">, αλλά και ως </w:t>
      </w:r>
      <w:r>
        <w:rPr>
          <w:lang w:val="en-US"/>
        </w:rPr>
        <w:t>dilatational</w:t>
      </w:r>
      <w:r>
        <w:t xml:space="preserve"> </w:t>
      </w:r>
      <w:r>
        <w:rPr>
          <w:lang w:val="en-US"/>
        </w:rPr>
        <w:t>materials</w:t>
      </w:r>
      <w:r>
        <w:t xml:space="preserve"> (</w:t>
      </w:r>
      <w:r>
        <w:t>υλικά που διαστέλλονται)</w:t>
      </w:r>
      <w:r>
        <w:t xml:space="preserve">, διότι </w:t>
      </w:r>
      <w:r>
        <w:t xml:space="preserve">εμφανίζουν εύκολη μεταβολή του όγκου </w:t>
      </w:r>
      <w:r>
        <w:t>τους, σε αντίθεση με τα ελαστικά υλικά</w:t>
      </w:r>
      <w:r>
        <w:t xml:space="preserve">, που ενώ </w:t>
      </w:r>
      <w:r>
        <w:t>είναι</w:t>
      </w:r>
      <w:r>
        <w:t xml:space="preserve"> ευμετάβλητα </w:t>
      </w:r>
      <w:r>
        <w:t xml:space="preserve">υπό φορτίο </w:t>
      </w:r>
      <w:r>
        <w:t xml:space="preserve">ο όγκος τους </w:t>
      </w:r>
      <w:r>
        <w:t>δεν μεταβάλλεται.</w:t>
      </w:r>
      <w:r>
        <w:t>[2]</w:t>
      </w:r>
    </w:p>
    <w:p>
      <w:pPr>
        <w:pStyle w:val="style0"/>
        <w:rPr/>
      </w:pPr>
    </w:p>
    <w:p>
      <w:pPr>
        <w:pStyle w:val="style0"/>
        <w:keepNext/>
        <w:jc w:val="center"/>
        <w:rPr/>
      </w:pPr>
      <w:r>
        <w:rPr>
          <w:noProof/>
          <w:lang w:val="en-US"/>
        </w:rPr>
        <w:drawing>
          <wp:inline distL="0" distT="0" distB="0" distR="0">
            <wp:extent cx="5274310" cy="2296795"/>
            <wp:effectExtent l="0" t="0" r="2540" b="8255"/>
            <wp:docPr id="1027" name="Εικόνα 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 name="Εικόνα 2"/>
                    <pic:cNvPicPr/>
                  </pic:nvPicPr>
                  <pic:blipFill>
                    <a:blip r:embed="rId3" cstate="print"/>
                    <a:srcRect l="0" t="0" r="0" b="0"/>
                    <a:stretch/>
                  </pic:blipFill>
                  <pic:spPr>
                    <a:xfrm rot="0">
                      <a:off x="0" y="0"/>
                      <a:ext cx="5274310" cy="2296795"/>
                    </a:xfrm>
                    <a:prstGeom prst="rect"/>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1</w:t>
      </w:r>
      <w:r>
        <w:rPr/>
        <w:fldChar w:fldCharType="end"/>
      </w:r>
      <w:r>
        <w:t xml:space="preserve"> </w:t>
      </w:r>
      <w:r>
        <w:t>Χαρακτηριστικά συμβατικού υλικού (αριστερά) και αυξητικού υλικού (δεξιά)</w:t>
      </w:r>
      <w:r>
        <w:t>.</w:t>
      </w:r>
    </w:p>
    <w:bookmarkStart w:id="15" w:name="_Toc66524594"/>
    <w:p>
      <w:pPr>
        <w:pStyle w:val="style0"/>
        <w:rPr/>
      </w:pPr>
    </w:p>
    <w:p>
      <w:pPr>
        <w:pStyle w:val="style0"/>
        <w:keepNext/>
        <w:jc w:val="center"/>
        <w:rPr/>
      </w:pPr>
      <w:r>
        <w:rPr>
          <w:noProof/>
        </w:rPr>
        <w:drawing>
          <wp:inline distL="0" distT="0" distB="0" distR="0">
            <wp:extent cx="4260215" cy="1073785"/>
            <wp:effectExtent l="0" t="0" r="6985" b="0"/>
            <wp:docPr id="1028" name="Εικόνα 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 name="Εικόνα 5"/>
                    <pic:cNvPicPr/>
                  </pic:nvPicPr>
                  <pic:blipFill>
                    <a:blip r:embed="rId4" cstate="print"/>
                    <a:srcRect l="0" t="0" r="0" b="0"/>
                    <a:stretch/>
                  </pic:blipFill>
                  <pic:spPr>
                    <a:xfrm rot="0">
                      <a:off x="0" y="0"/>
                      <a:ext cx="4260215" cy="1073785"/>
                    </a:xfrm>
                    <a:prstGeom prst="rect"/>
                    <a:ln>
                      <a:noFill/>
                    </a:ln>
                  </pic:spPr>
                </pic:pic>
              </a:graphicData>
            </a:graphic>
          </wp:inline>
        </w:drawing>
      </w:r>
    </w:p>
    <w:p>
      <w:pPr>
        <w:pStyle w:val="style34"/>
        <w:jc w:val="center"/>
        <w:rPr>
          <w:lang w:val="en-US"/>
        </w:rPr>
      </w:pPr>
      <w:r>
        <w:t>Εικόνα</w:t>
      </w:r>
      <w:r>
        <w:rPr>
          <w:lang w:val="en-US"/>
        </w:rPr>
        <w:t xml:space="preserve"> </w:t>
      </w:r>
      <w:r>
        <w:rPr/>
        <w:fldChar w:fldCharType="begin"/>
      </w:r>
      <w:r>
        <w:rPr>
          <w:lang w:val="en-US"/>
        </w:rPr>
        <w:instrText xml:space="preserve"> SEQ </w:instrText>
      </w:r>
      <w:r>
        <w:instrText>Εικόνα</w:instrText>
      </w:r>
      <w:r>
        <w:rPr>
          <w:lang w:val="en-US"/>
        </w:rPr>
        <w:instrText xml:space="preserve"> \* ARABIC </w:instrText>
      </w:r>
      <w:r>
        <w:rPr/>
        <w:fldChar w:fldCharType="separate"/>
      </w:r>
      <w:r>
        <w:rPr>
          <w:noProof/>
          <w:lang w:val="en-US"/>
        </w:rPr>
        <w:t>2</w:t>
      </w:r>
      <w:r>
        <w:rPr/>
        <w:fldChar w:fldCharType="end"/>
      </w:r>
      <w:r>
        <w:rPr>
          <w:lang w:val="en-US"/>
        </w:rPr>
        <w:t xml:space="preserve"> </w:t>
      </w:r>
      <w:r>
        <w:t>Αυξητικές</w:t>
      </w:r>
      <w:r>
        <w:rPr>
          <w:lang w:val="en-US"/>
        </w:rPr>
        <w:t xml:space="preserve"> </w:t>
      </w:r>
      <w:r>
        <w:t>δομές</w:t>
      </w:r>
      <w:r>
        <w:rPr>
          <w:lang w:val="en-US"/>
        </w:rPr>
        <w:t xml:space="preserve"> </w:t>
      </w:r>
      <w:r>
        <w:rPr>
          <w:lang w:val="en-US"/>
        </w:rPr>
        <w:t>(a) re-entrant hexagonal, (b) star, (c) double-arrowed</w:t>
      </w:r>
      <w:r>
        <w:rPr>
          <w:lang w:val="en-US"/>
        </w:rPr>
        <w:t xml:space="preserve">, </w:t>
      </w:r>
      <w:r>
        <w:rPr>
          <w:lang w:val="en-US"/>
        </w:rPr>
        <w:t>(d) chiral.</w:t>
      </w:r>
    </w:p>
    <w:p>
      <w:pPr>
        <w:pStyle w:val="style0"/>
        <w:jc w:val="center"/>
        <w:rPr>
          <w:lang w:val="en-US"/>
        </w:rPr>
      </w:pPr>
      <w:r>
        <w:rPr>
          <w:lang w:val="en-US"/>
        </w:rPr>
        <w:br w:type="page"/>
      </w:r>
    </w:p>
    <w:bookmarkStart w:id="16" w:name="_Toc77270425"/>
    <w:p>
      <w:pPr>
        <w:pStyle w:val="style2"/>
        <w:rPr/>
      </w:pPr>
      <w:r>
        <w:t xml:space="preserve">Αρνητικός λόγος </w:t>
      </w:r>
      <w:r>
        <w:rPr>
          <w:lang w:val="en-US"/>
        </w:rPr>
        <w:t>Poisson</w:t>
      </w:r>
      <w:bookmarkEnd w:id="16"/>
    </w:p>
    <w:p>
      <w:pPr>
        <w:pStyle w:val="style0"/>
        <w:rPr/>
      </w:pPr>
    </w:p>
    <w:p>
      <w:pPr>
        <w:pStyle w:val="style0"/>
        <w:rPr/>
      </w:pPr>
      <w:r>
        <w:t xml:space="preserve">Ο λόγος </w:t>
      </w:r>
      <w:r>
        <w:rPr>
          <w:lang w:val="en-US"/>
        </w:rPr>
        <w:t>Poisson</w:t>
      </w:r>
      <w:r>
        <w:t xml:space="preserve"> ορίζεται ως </w:t>
      </w:r>
      <w:r>
        <w:t>«</w:t>
      </w:r>
      <w:r>
        <w:rPr>
          <w:i/>
          <w:iCs/>
        </w:rPr>
        <w:t>ο λόγος της εγκάρσιας συστολής προς την διαμήκη επέκταση</w:t>
      </w:r>
      <w:r>
        <w:rPr>
          <w:i/>
          <w:iCs/>
        </w:rPr>
        <w:t xml:space="preserve"> σε μια απλή κατάσταση έντασης»</w:t>
      </w:r>
      <w:r>
        <w:t xml:space="preserve"> (</w:t>
      </w:r>
      <w:r>
        <w:rPr>
          <w:lang w:val="en-US"/>
        </w:rPr>
        <w:t>Fung</w:t>
      </w:r>
      <w:r>
        <w:t>,</w:t>
      </w:r>
      <w:r>
        <w:t xml:space="preserve"> 1968)</w:t>
      </w:r>
      <w:r>
        <w:t xml:space="preserve">. </w:t>
      </w:r>
      <w:r>
        <w:t>Η μαθηματική του έκφραση είναι ως εξής:</w:t>
      </w:r>
    </w:p>
    <w:p>
      <w:pPr>
        <w:pStyle w:val="style0"/>
        <w:jc w:val="center"/>
        <w:rPr>
          <w:rFonts w:eastAsia="宋体"/>
        </w:rPr>
      </w:pPr>
      <m:oMath>
        <m:r>
          <w:rPr>
            <w:rFonts w:ascii="Cambria Math" w:hAnsi="Cambria Math"/>
          </w:rPr>
          <m:t>ν=-</m:t>
        </m:r>
        <m:f>
          <m:fPr>
            <m:ctrlPr>
              <w:rPr>
                <w:rFonts w:ascii="Cambria Math" w:hAnsi="Cambria Math"/>
                <w:i/>
              </w:rPr>
            </m:ctrlPr>
          </m:fPr>
          <m:num>
            <m:sSub>
              <m:sSubPr>
                <m:ctrlPr>
                  <w:rPr>
                    <w:rFonts w:ascii="Cambria Math" w:hAnsi="Cambria Math"/>
                    <w:i/>
                    <w:lang w:val="en-US"/>
                  </w:rPr>
                </m:ctrlPr>
              </m:sSubPr>
              <m:e>
                <m:r>
                  <w:rPr>
                    <w:rFonts w:ascii="Cambria Math" w:hAnsi="Cambria Math"/>
                    <w:lang w:val="en-US"/>
                  </w:rPr>
                  <m:t>ε</m:t>
                </m:r>
              </m:e>
              <m:sub>
                <m:r>
                  <w:rPr>
                    <w:rFonts w:ascii="Cambria Math" w:hAnsi="Cambria Math"/>
                    <w:lang w:val="en-US"/>
                  </w:rPr>
                  <m:t>x</m:t>
                </m:r>
              </m:sub>
            </m:sSub>
          </m:num>
          <m:den>
            <m:sSub>
              <m:sSubPr>
                <m:ctrlPr>
                  <w:rPr>
                    <w:rFonts w:ascii="Cambria Math" w:hAnsi="Cambria Math"/>
                    <w:i/>
                  </w:rPr>
                </m:ctrlPr>
              </m:sSubPr>
              <m:e>
                <m:r>
                  <w:rPr>
                    <w:rFonts w:ascii="Cambria Math" w:hAnsi="Cambria Math"/>
                  </w:rPr>
                  <m:t>ε</m:t>
                </m:r>
              </m:e>
              <m:sub>
                <m:r>
                  <w:rPr>
                    <w:rFonts w:ascii="Cambria Math" w:hAnsi="Cambria Math"/>
                    <w:lang w:val="en-US"/>
                  </w:rPr>
                  <m:t>y</m:t>
                </m:r>
              </m:sub>
            </m:sSub>
          </m:den>
        </m:f>
        <m:r>
          <w:rPr>
            <w:rFonts w:ascii="Cambria Math" w:hAnsi="Cambria Math"/>
          </w:rPr>
          <m:t>=-</m:t>
        </m:r>
        <m:f>
          <m:fPr>
            <m:ctrlPr>
              <w:rPr>
                <w:rFonts w:ascii="Cambria Math" w:hAnsi="Cambria Math"/>
                <w:i/>
              </w:rPr>
            </m:ctrlPr>
          </m:fPr>
          <m:num>
            <m:f>
              <m:fPr>
                <m:ctrlPr>
                  <w:rPr>
                    <w:rFonts w:ascii="Cambria Math" w:hAnsi="Cambria Math"/>
                    <w:i/>
                  </w:rPr>
                </m:ctrlPr>
              </m:fPr>
              <m:num>
                <m:r>
                  <m:rPr>
                    <m:sty m:val="p"/>
                  </m:rPr>
                  <w:rPr>
                    <w:rFonts w:ascii="Cambria Math" w:hAnsi="Cambria Math"/>
                  </w:rPr>
                  <m:t>Δ</m:t>
                </m:r>
                <m:r>
                  <w:rPr>
                    <w:rFonts w:ascii="Cambria Math" w:hAnsi="Cambria Math"/>
                  </w:rPr>
                  <m:t>y</m:t>
                </m:r>
              </m:num>
              <m:den>
                <m:r>
                  <m:rPr>
                    <m:sty m:val="p"/>
                  </m:rPr>
                  <w:rPr>
                    <w:rFonts w:ascii="Cambria Math" w:hAnsi="Cambria Math"/>
                  </w:rPr>
                  <m:t>ly</m:t>
                </m:r>
              </m:den>
            </m:f>
          </m:num>
          <m:den>
            <m:f>
              <m:fPr>
                <m:ctrlPr>
                  <w:rPr>
                    <w:rFonts w:ascii="Cambria Math" w:hAnsi="Cambria Math"/>
                    <w:i/>
                  </w:rPr>
                </m:ctrlPr>
              </m:fPr>
              <m:num>
                <m:r>
                  <m:rPr>
                    <m:sty m:val="p"/>
                  </m:rPr>
                  <w:rPr>
                    <w:rFonts w:ascii="Cambria Math" w:hAnsi="Cambria Math"/>
                  </w:rPr>
                  <m:t>Δ</m:t>
                </m:r>
                <m:r>
                  <w:rPr>
                    <w:rFonts w:ascii="Cambria Math" w:hAnsi="Cambria Math"/>
                  </w:rPr>
                  <m:t>x</m:t>
                </m:r>
              </m:num>
              <m:den>
                <m:r>
                  <m:rPr>
                    <m:sty m:val="p"/>
                  </m:rPr>
                  <w:rPr>
                    <w:rFonts w:ascii="Cambria Math" w:hAnsi="Cambria Math"/>
                  </w:rPr>
                  <m:t>lx</m:t>
                </m:r>
              </m:den>
            </m:f>
          </m:den>
        </m:f>
        <m:r>
          <w:rPr>
            <w:rFonts w:ascii="Cambria Math" w:hAnsi="Cambria Math"/>
          </w:rPr>
          <m:t>=-</m:t>
        </m:r>
        <m:f>
          <m:fPr>
            <m:ctrlPr>
              <w:rPr>
                <w:rFonts w:ascii="Cambria Math" w:hAnsi="Cambria Math"/>
                <w:i/>
              </w:rPr>
            </m:ctrlPr>
          </m:fPr>
          <m:num>
            <m:r>
              <m:rPr>
                <m:sty m:val="p"/>
              </m:rPr>
              <w:rPr>
                <w:rFonts w:ascii="Cambria Math" w:hAnsi="Cambria Math"/>
              </w:rPr>
              <m:t>Δ</m:t>
            </m:r>
            <m:r>
              <w:rPr>
                <w:rFonts w:ascii="Cambria Math" w:hAnsi="Cambria Math"/>
              </w:rPr>
              <m:t>y</m:t>
            </m:r>
          </m:num>
          <m:den>
            <m:r>
              <m:rPr>
                <m:sty m:val="p"/>
              </m:rPr>
              <w:rPr>
                <w:rFonts w:ascii="Cambria Math" w:hAnsi="Cambria Math"/>
              </w:rPr>
              <m:t>Δ</m:t>
            </m:r>
            <m:r>
              <w:rPr>
                <w:rFonts w:ascii="Cambria Math" w:hAnsi="Cambria Math"/>
              </w:rPr>
              <m:t>x</m:t>
            </m:r>
          </m:den>
        </m:f>
        <m:box>
          <m:boxPr>
            <m:opEmu m:val="1"/>
            <m:ctrlPr>
              <w:rPr>
                <w:rFonts w:ascii="Cambria Math" w:hAnsi="Cambria Math"/>
                <w:i/>
              </w:rPr>
            </m:ctrlPr>
          </m:boxPr>
          <m:e>
            <m:groupChr>
              <m:groupChrPr>
                <m:chr m:val="⇒"/>
                <m:vertJc m:val="bot"/>
                <m:ctrlPr>
                  <w:rPr>
                    <w:rFonts w:ascii="Cambria Math" w:hAnsi="Cambria Math"/>
                    <w:i/>
                  </w:rPr>
                </m:ctrlPr>
              </m:groupChrPr>
              <m:e/>
            </m:groupChr>
          </m:e>
        </m:box>
        <m:r>
          <w:rPr>
            <w:rFonts w:ascii="Cambria Math" w:hAnsi="Cambria Math"/>
            <w:lang w:val="en-US"/>
          </w:rPr>
          <m:t>v</m:t>
        </m:r>
        <m:r>
          <w:rPr>
            <w:rFonts w:ascii="Cambria Math" w:hAnsi="Cambria Math"/>
          </w:rPr>
          <m:t>&lt;0 με Δ</m:t>
        </m:r>
        <m:r>
          <w:rPr>
            <w:rFonts w:ascii="Cambria Math" w:hAnsi="Cambria Math"/>
            <w:lang w:val="en-US"/>
          </w:rPr>
          <m:t>x</m:t>
        </m:r>
        <m:r>
          <w:rPr>
            <w:rFonts w:ascii="Cambria Math" w:hAnsi="Cambria Math"/>
          </w:rPr>
          <m:t>,Δ</m:t>
        </m:r>
        <m:r>
          <w:rPr>
            <w:rFonts w:ascii="Cambria Math" w:hAnsi="Cambria Math"/>
            <w:lang w:val="en-US"/>
          </w:rPr>
          <m:t>y</m:t>
        </m:r>
        <m:r>
          <w:rPr>
            <w:rFonts w:ascii="Cambria Math" w:hAnsi="Cambria Math"/>
          </w:rPr>
          <m:t>&gt;0</m:t>
        </m:r>
      </m:oMath>
      <w:r>
        <w:rPr>
          <w:rFonts w:eastAsia="宋体"/>
        </w:rPr>
        <w:t xml:space="preserve"> </w:t>
      </w:r>
    </w:p>
    <w:p>
      <w:pPr>
        <w:pStyle w:val="style0"/>
        <w:rPr/>
      </w:pPr>
      <w:r>
        <w:t xml:space="preserve">Η γραμμική σχέση μεταξύ τάσεων </w:t>
      </w:r>
      <w:r>
        <w:t>παραμορφώσεων</w:t>
      </w:r>
      <w:r>
        <w:t xml:space="preserve"> </w:t>
      </w:r>
      <w:r>
        <w:t xml:space="preserve">μέσα σε ένα συνεχές και παραμορφώσιμο σώμα, ονομάζεται γενικευμένος κανόνας </w:t>
      </w:r>
      <w:r>
        <w:rPr>
          <w:lang w:val="en-US"/>
        </w:rPr>
        <w:t>Hooke</w:t>
      </w:r>
      <w:r>
        <w:t>. Για ένα ισοτροπικό</w:t>
      </w:r>
      <w:r>
        <w:t xml:space="preserve"> (ιδιότητες ανεξάρτητες από την </w:t>
      </w:r>
      <w:r>
        <w:t>κατεύθυνση</w:t>
      </w:r>
      <w:r>
        <w:t xml:space="preserve">) </w:t>
      </w:r>
      <w:r>
        <w:t xml:space="preserve">υλικό τα μεγέθη που χρειάζονται για να το χαρακτηρίσουν είναι τα εξής: </w:t>
      </w:r>
      <w:r>
        <w:t>το μέτρο ελαστικότητας (</w:t>
      </w:r>
      <w:r>
        <w:rPr>
          <w:lang w:val="en-US"/>
        </w:rPr>
        <w:t>Young</w:t>
      </w:r>
      <w:r>
        <w:t>’</w:t>
      </w:r>
      <w:r>
        <w:rPr>
          <w:lang w:val="en-US"/>
        </w:rPr>
        <w:t>s</w:t>
      </w:r>
      <w:r>
        <w:t xml:space="preserve"> </w:t>
      </w:r>
      <w:r>
        <w:rPr>
          <w:lang w:val="en-US"/>
        </w:rPr>
        <w:t>modulus</w:t>
      </w:r>
      <w:r>
        <w:t xml:space="preserve">) </w:t>
      </w:r>
      <w:r>
        <w:rPr>
          <w:lang w:val="en-US"/>
        </w:rPr>
        <w:t>E</w:t>
      </w:r>
      <w:r>
        <w:t xml:space="preserve">, </w:t>
      </w:r>
      <w:r>
        <w:t>το μέτρο διάτμησης (</w:t>
      </w:r>
      <w:r>
        <w:rPr>
          <w:lang w:val="en-US"/>
        </w:rPr>
        <w:t>shear</w:t>
      </w:r>
      <w:r>
        <w:t xml:space="preserve"> </w:t>
      </w:r>
      <w:r>
        <w:rPr>
          <w:lang w:val="en-US"/>
        </w:rPr>
        <w:t>modulus</w:t>
      </w:r>
      <w:r>
        <w:t>)</w:t>
      </w:r>
      <w:r>
        <w:t xml:space="preserve"> </w:t>
      </w:r>
      <w:r>
        <w:rPr>
          <w:lang w:val="en-US"/>
        </w:rPr>
        <w:t>G</w:t>
      </w:r>
      <w:r>
        <w:t xml:space="preserve">, </w:t>
      </w:r>
      <w:r>
        <w:t>το μέτρο ελαστικότητας του όγκου (</w:t>
      </w:r>
      <w:r>
        <w:rPr>
          <w:lang w:val="en-US"/>
        </w:rPr>
        <w:t>bulk</w:t>
      </w:r>
      <w:r>
        <w:t xml:space="preserve"> </w:t>
      </w:r>
      <w:r>
        <w:rPr>
          <w:lang w:val="en-US"/>
        </w:rPr>
        <w:t>modulus</w:t>
      </w:r>
      <w:r>
        <w:t xml:space="preserve">) </w:t>
      </w:r>
      <w:r>
        <w:rPr>
          <w:lang w:val="en-US"/>
        </w:rPr>
        <w:t>K</w:t>
      </w:r>
      <w:r>
        <w:t xml:space="preserve"> </w:t>
      </w:r>
      <w:r>
        <w:t>κα</w:t>
      </w:r>
      <w:r>
        <w:t xml:space="preserve">ι ο λόγος </w:t>
      </w:r>
      <w:r>
        <w:rPr>
          <w:lang w:val="en-US"/>
        </w:rPr>
        <w:t>Poisson</w:t>
      </w:r>
      <w:r>
        <w:t>.</w:t>
      </w:r>
    </w:p>
    <w:p>
      <w:pPr>
        <w:pStyle w:val="style0"/>
        <w:rPr/>
      </w:pPr>
      <w:r>
        <w:t>Τα παραπάνω</w:t>
      </w:r>
      <w:r>
        <w:t xml:space="preserve"> συνδυάζονται με τις εξής σχέσεις:</w:t>
      </w:r>
    </w:p>
    <w:p>
      <w:pPr>
        <w:pStyle w:val="style0"/>
        <w:jc w:val="center"/>
        <w:rPr>
          <w:rFonts w:eastAsia="宋体"/>
        </w:rPr>
      </w:pPr>
      <m:oMath>
        <m:r>
          <w:rPr>
            <w:rFonts w:ascii="Cambria Math" w:hAnsi="Cambria Math"/>
            <w:lang w:val="en-US"/>
          </w:rPr>
          <m:t>G</m:t>
        </m:r>
        <m:r>
          <w:rPr>
            <w:rFonts w:ascii="Cambria Math" w:hAnsi="Cambria Math"/>
          </w:rPr>
          <m:t>=</m:t>
        </m:r>
        <m:f>
          <m:fPr>
            <m:ctrlPr>
              <w:rPr>
                <w:rFonts w:ascii="Cambria Math" w:hAnsi="Cambria Math"/>
                <w:i/>
                <w:lang w:val="en-US"/>
              </w:rPr>
            </m:ctrlPr>
          </m:fPr>
          <m:num>
            <m:r>
              <w:rPr>
                <w:rFonts w:ascii="Cambria Math" w:hAnsi="Cambria Math"/>
                <w:lang w:val="en-US"/>
              </w:rPr>
              <m:t>E</m:t>
            </m:r>
          </m:num>
          <m:den>
            <m:r>
              <w:rPr>
                <w:rFonts w:ascii="Cambria Math" w:hAnsi="Cambria Math"/>
              </w:rPr>
              <m:t>2</m:t>
            </m:r>
            <m:d>
              <m:dPr>
                <m:endChr m:val=")"/>
                <m:ctrlPr>
                  <w:rPr>
                    <w:rFonts w:ascii="Cambria Math" w:hAnsi="Cambria Math"/>
                    <w:i/>
                    <w:lang w:val="en-US"/>
                  </w:rPr>
                </m:ctrlPr>
              </m:dPr>
              <m:e>
                <m:r>
                  <w:rPr>
                    <w:rFonts w:ascii="Cambria Math" w:hAnsi="Cambria Math"/>
                  </w:rPr>
                  <m:t>1+ν</m:t>
                </m:r>
                <m:ctrlPr>
                  <w:rPr>
                    <w:rFonts w:ascii="Cambria Math" w:hAnsi="Cambria Math"/>
                    <w:i/>
                  </w:rPr>
                </m:ctrlPr>
              </m:e>
            </m:d>
          </m:den>
        </m:f>
      </m:oMath>
      <w:r>
        <w:rPr>
          <w:rFonts w:eastAsia="宋体"/>
        </w:rPr>
        <w:t xml:space="preserve"> </w:t>
      </w:r>
      <w:r>
        <w:rPr>
          <w:rFonts w:eastAsia="宋体"/>
        </w:rPr>
        <w:tab/>
      </w:r>
      <w:r>
        <w:rPr>
          <w:rFonts w:eastAsia="宋体"/>
        </w:rPr>
        <w:t>(1)</w:t>
      </w:r>
    </w:p>
    <w:p>
      <w:pPr>
        <w:pStyle w:val="style0"/>
        <w:jc w:val="center"/>
        <w:rPr>
          <w:rFonts w:eastAsia="宋体"/>
        </w:rPr>
      </w:pPr>
      <m:oMath>
        <m:r>
          <w:rPr>
            <w:rFonts w:ascii="Cambria Math" w:hAnsi="Cambria Math"/>
            <w:lang w:val="en-US"/>
          </w:rPr>
          <m:t>K</m:t>
        </m:r>
        <m:r>
          <w:rPr>
            <w:rFonts w:ascii="Cambria Math" w:hAnsi="Cambria Math"/>
          </w:rPr>
          <m:t>=</m:t>
        </m:r>
        <m:f>
          <m:fPr>
            <m:ctrlPr>
              <w:rPr>
                <w:rFonts w:ascii="Cambria Math" w:hAnsi="Cambria Math"/>
                <w:i/>
                <w:lang w:val="en-US"/>
              </w:rPr>
            </m:ctrlPr>
          </m:fPr>
          <m:num>
            <m:r>
              <w:rPr>
                <w:rFonts w:ascii="Cambria Math" w:hAnsi="Cambria Math"/>
                <w:lang w:val="en-US"/>
              </w:rPr>
              <m:t>E</m:t>
            </m:r>
          </m:num>
          <m:den>
            <m:r>
              <w:rPr>
                <w:rFonts w:ascii="Cambria Math" w:hAnsi="Cambria Math"/>
              </w:rPr>
              <m:t>3(1-2ν)</m:t>
            </m:r>
          </m:den>
        </m:f>
      </m:oMath>
      <w:r>
        <w:rPr>
          <w:rFonts w:eastAsia="宋体"/>
        </w:rPr>
        <w:tab/>
      </w:r>
      <w:r>
        <w:rPr>
          <w:rFonts w:eastAsia="宋体"/>
        </w:rPr>
        <w:t>(2)</w:t>
      </w:r>
    </w:p>
    <w:p>
      <w:pPr>
        <w:pStyle w:val="style0"/>
        <w:jc w:val="center"/>
        <w:rPr>
          <w:rFonts w:eastAsia="宋体"/>
        </w:rPr>
      </w:pPr>
      <m:oMath>
        <m:r>
          <w:rPr>
            <w:rFonts w:ascii="Cambria Math" w:hAnsi="Cambria Math"/>
            <w:lang w:val="en-US"/>
          </w:rPr>
          <m:t>E</m:t>
        </m:r>
        <m:r>
          <w:rPr>
            <w:rFonts w:ascii="Cambria Math" w:hAnsi="Cambria Math"/>
          </w:rPr>
          <m:t>=</m:t>
        </m:r>
        <m:f>
          <m:fPr>
            <m:ctrlPr>
              <w:rPr>
                <w:rFonts w:ascii="Cambria Math" w:hAnsi="Cambria Math"/>
                <w:i/>
                <w:lang w:val="en-US"/>
              </w:rPr>
            </m:ctrlPr>
          </m:fPr>
          <m:num>
            <m:r>
              <w:rPr>
                <w:rFonts w:ascii="Cambria Math" w:hAnsi="Cambria Math"/>
              </w:rPr>
              <m:t>9</m:t>
            </m:r>
            <m:r>
              <w:rPr>
                <w:rFonts w:ascii="Cambria Math" w:hAnsi="Cambria Math"/>
                <w:lang w:val="en-US"/>
              </w:rPr>
              <m:t>KG</m:t>
            </m:r>
          </m:num>
          <m:den>
            <m:r>
              <w:rPr>
                <w:rFonts w:ascii="Cambria Math" w:hAnsi="Cambria Math"/>
              </w:rPr>
              <m:t>(3</m:t>
            </m:r>
            <m:r>
              <w:rPr>
                <w:rFonts w:ascii="Cambria Math" w:hAnsi="Cambria Math"/>
                <w:lang w:val="en-US"/>
              </w:rPr>
              <m:t>K</m:t>
            </m:r>
            <m:r>
              <w:rPr>
                <w:rFonts w:ascii="Cambria Math" w:hAnsi="Cambria Math"/>
              </w:rPr>
              <m:t>+</m:t>
            </m:r>
            <m:r>
              <w:rPr>
                <w:rFonts w:ascii="Cambria Math" w:hAnsi="Cambria Math"/>
                <w:lang w:val="en-US"/>
              </w:rPr>
              <m:t>G</m:t>
            </m:r>
            <m:r>
              <w:rPr>
                <w:rFonts w:ascii="Cambria Math" w:hAnsi="Cambria Math"/>
              </w:rPr>
              <m:t>)</m:t>
            </m:r>
          </m:den>
        </m:f>
      </m:oMath>
      <w:r>
        <w:rPr>
          <w:rFonts w:eastAsia="宋体"/>
        </w:rPr>
        <w:tab/>
      </w:r>
      <w:r>
        <w:rPr>
          <w:rFonts w:eastAsia="宋体"/>
        </w:rPr>
        <w:t>(3)</w:t>
      </w:r>
    </w:p>
    <w:p>
      <w:pPr>
        <w:pStyle w:val="style0"/>
        <w:jc w:val="center"/>
        <w:rPr>
          <w:rFonts w:eastAsia="宋体"/>
          <w:i/>
        </w:rPr>
      </w:pPr>
      <m:oMath>
        <m:r>
          <w:rPr>
            <w:rFonts w:ascii="Cambria Math" w:hAnsi="Cambria Math"/>
            <w:lang w:val="en-US"/>
          </w:rPr>
          <m:t>ν</m:t>
        </m:r>
        <m:r>
          <w:rPr>
            <w:rFonts w:ascii="Cambria Math" w:hAnsi="Cambria Math"/>
          </w:rPr>
          <m:t>=</m:t>
        </m:r>
        <m:f>
          <m:fPr>
            <m:ctrlPr>
              <w:rPr>
                <w:rFonts w:ascii="Cambria Math" w:hAnsi="Cambria Math"/>
                <w:i/>
                <w:lang w:val="en-US"/>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lang w:val="en-US"/>
              </w:rPr>
            </m:ctrlPr>
          </m:fPr>
          <m:num>
            <m:r>
              <w:rPr>
                <w:rFonts w:ascii="Cambria Math" w:hAnsi="Cambria Math"/>
              </w:rPr>
              <m:t>3</m:t>
            </m:r>
            <m:r>
              <w:rPr>
                <w:rFonts w:ascii="Cambria Math" w:hAnsi="Cambria Math"/>
                <w:lang w:val="en-US"/>
              </w:rPr>
              <m:t>K</m:t>
            </m:r>
            <m:r>
              <w:rPr>
                <w:rFonts w:ascii="Cambria Math" w:hAnsi="Cambria Math"/>
              </w:rPr>
              <m:t>-2</m:t>
            </m:r>
            <m:r>
              <w:rPr>
                <w:rFonts w:ascii="Cambria Math" w:hAnsi="Cambria Math"/>
                <w:lang w:val="en-US"/>
              </w:rPr>
              <m:t>G</m:t>
            </m:r>
          </m:num>
          <m:den>
            <m:r>
              <w:rPr>
                <w:rFonts w:ascii="Cambria Math" w:hAnsi="Cambria Math"/>
              </w:rPr>
              <m:t>3</m:t>
            </m:r>
            <m:r>
              <w:rPr>
                <w:rFonts w:ascii="Cambria Math" w:hAnsi="Cambria Math"/>
                <w:lang w:val="en-US"/>
              </w:rPr>
              <m:t>K</m:t>
            </m:r>
            <m:r>
              <w:rPr>
                <w:rFonts w:ascii="Cambria Math" w:hAnsi="Cambria Math"/>
              </w:rPr>
              <m:t>+</m:t>
            </m:r>
            <m:r>
              <w:rPr>
                <w:rFonts w:ascii="Cambria Math" w:hAnsi="Cambria Math"/>
                <w:lang w:val="en-US"/>
              </w:rPr>
              <m:t>G</m:t>
            </m:r>
          </m:den>
        </m:f>
        <m:r>
          <w:rPr>
            <w:rFonts w:ascii="Cambria Math" w:hAnsi="Cambria Math"/>
          </w:rPr>
          <m:t>)</m:t>
        </m:r>
      </m:oMath>
      <w:r>
        <w:rPr>
          <w:rFonts w:eastAsia="宋体"/>
          <w:i/>
        </w:rPr>
        <w:tab/>
      </w:r>
      <w:r>
        <w:rPr>
          <w:rFonts w:eastAsia="宋体"/>
          <w:i/>
        </w:rPr>
        <w:t>(4)</w:t>
      </w:r>
    </w:p>
    <w:p>
      <w:pPr>
        <w:pStyle w:val="style0"/>
        <w:rPr>
          <w:rFonts w:eastAsia="宋体"/>
          <w:iCs/>
        </w:rPr>
      </w:pPr>
      <w:r>
        <w:rPr>
          <w:rFonts w:eastAsia="宋体"/>
          <w:iCs/>
        </w:rPr>
        <w:t xml:space="preserve">Επειδή τα </w:t>
      </w:r>
      <w:r>
        <w:rPr>
          <w:rFonts w:eastAsia="宋体"/>
          <w:iCs/>
          <w:lang w:val="en-US"/>
        </w:rPr>
        <w:t>G</w:t>
      </w:r>
      <w:r>
        <w:rPr>
          <w:rFonts w:eastAsia="宋体"/>
          <w:iCs/>
        </w:rPr>
        <w:t xml:space="preserve">, </w:t>
      </w:r>
      <w:r>
        <w:rPr>
          <w:rFonts w:eastAsia="宋体"/>
          <w:iCs/>
          <w:lang w:val="en-US"/>
        </w:rPr>
        <w:t>K</w:t>
      </w:r>
      <w:r>
        <w:rPr>
          <w:rFonts w:eastAsia="宋体"/>
          <w:iCs/>
        </w:rPr>
        <w:t xml:space="preserve"> </w:t>
      </w:r>
      <w:r>
        <w:rPr>
          <w:rFonts w:eastAsia="宋体"/>
          <w:iCs/>
        </w:rPr>
        <w:t xml:space="preserve">πρέπει να είναι θετικά, συμπεραίνουμε ότι ο λόγος </w:t>
      </w:r>
      <w:r>
        <w:rPr>
          <w:rFonts w:eastAsia="宋体"/>
          <w:iCs/>
          <w:lang w:val="en-US"/>
        </w:rPr>
        <w:t>Poisson</w:t>
      </w:r>
      <w:r>
        <w:rPr>
          <w:rFonts w:eastAsia="宋体"/>
          <w:iCs/>
        </w:rPr>
        <w:t xml:space="preserve"> θα παίρνει τιμές ανάμεσα σε -1</w:t>
      </w:r>
      <w:r>
        <w:rPr>
          <w:rFonts w:eastAsia="宋体"/>
          <w:iCs/>
        </w:rPr>
        <w:t>&lt;ν&lt;0.5.</w:t>
      </w:r>
      <w:r>
        <w:rPr>
          <w:rFonts w:eastAsia="宋体"/>
          <w:iCs/>
        </w:rPr>
        <w:t>[3]</w:t>
      </w:r>
    </w:p>
    <w:p>
      <w:pPr>
        <w:pStyle w:val="style0"/>
        <w:rPr>
          <w:rFonts w:eastAsia="宋体"/>
          <w:iCs/>
        </w:rPr>
      </w:pPr>
    </w:p>
    <w:p>
      <w:pPr>
        <w:pStyle w:val="style0"/>
        <w:rPr>
          <w:rFonts w:ascii="Calibri Light" w:cs="宋体" w:eastAsia="宋体" w:hAnsi="Calibri Light"/>
          <w:iCs/>
          <w:color w:val="2f5496"/>
          <w:sz w:val="26"/>
          <w:szCs w:val="26"/>
        </w:rPr>
      </w:pPr>
      <w:r>
        <w:rPr>
          <w:rFonts w:eastAsia="宋体"/>
          <w:iCs/>
        </w:rPr>
        <w:br w:type="page"/>
      </w:r>
    </w:p>
    <w:bookmarkStart w:id="17" w:name="_Toc77270426"/>
    <w:p>
      <w:pPr>
        <w:pStyle w:val="style2"/>
        <w:rPr>
          <w:rFonts w:eastAsia="宋体"/>
          <w:iCs/>
        </w:rPr>
      </w:pPr>
      <w:r>
        <w:rPr>
          <w:rFonts w:eastAsia="宋体"/>
          <w:iCs/>
        </w:rPr>
        <w:t>Χαρακτηριστικά και εφαρμογές των αυξητικών υλικών</w:t>
      </w:r>
      <w:bookmarkEnd w:id="17"/>
    </w:p>
    <w:p>
      <w:pPr>
        <w:pStyle w:val="style0"/>
        <w:rPr/>
      </w:pPr>
    </w:p>
    <w:p>
      <w:pPr>
        <w:pStyle w:val="style0"/>
        <w:rPr/>
      </w:pPr>
      <w:r>
        <w:t xml:space="preserve">Η ικανότητα των αυξητικών υλικών να </w:t>
      </w:r>
      <w:r>
        <w:t>επιμηκύνονται</w:t>
      </w:r>
      <w:r>
        <w:t xml:space="preserve">, προς όλες τις μεριές κάτω από φόρτιση, του δίνει </w:t>
      </w:r>
      <w:r>
        <w:t>τα εξής</w:t>
      </w:r>
      <w:r>
        <w:t xml:space="preserve"> ιδιαίτερα χαρακτηριστικά</w:t>
      </w:r>
      <w:r>
        <w:t>:</w:t>
      </w:r>
    </w:p>
    <w:p>
      <w:pPr>
        <w:pStyle w:val="style179"/>
        <w:numPr>
          <w:ilvl w:val="0"/>
          <w:numId w:val="1"/>
        </w:numPr>
        <w:rPr>
          <w:lang w:val="en-US"/>
        </w:rPr>
      </w:pPr>
      <w:r>
        <w:t>Αντίσταση</w:t>
      </w:r>
      <w:r>
        <w:rPr>
          <w:lang w:val="en-US"/>
        </w:rPr>
        <w:t xml:space="preserve"> </w:t>
      </w:r>
      <w:r>
        <w:t>στη</w:t>
      </w:r>
      <w:r>
        <w:rPr>
          <w:lang w:val="en-US"/>
        </w:rPr>
        <w:t xml:space="preserve"> </w:t>
      </w:r>
      <w:r>
        <w:t>διείσδυση</w:t>
      </w:r>
      <w:r>
        <w:rPr>
          <w:lang w:val="en-US"/>
        </w:rPr>
        <w:t xml:space="preserve"> (</w:t>
      </w:r>
      <w:r>
        <w:rPr>
          <w:lang w:val="en-US"/>
        </w:rPr>
        <w:t>Resistance</w:t>
      </w:r>
      <w:r>
        <w:rPr>
          <w:lang w:val="en-US"/>
        </w:rPr>
        <w:t xml:space="preserve"> </w:t>
      </w:r>
      <w:r>
        <w:rPr>
          <w:lang w:val="en-US"/>
        </w:rPr>
        <w:t>to</w:t>
      </w:r>
      <w:r>
        <w:rPr>
          <w:lang w:val="en-US"/>
        </w:rPr>
        <w:t xml:space="preserve"> </w:t>
      </w:r>
      <w:r>
        <w:rPr>
          <w:lang w:val="en-US"/>
        </w:rPr>
        <w:t>indentation)</w:t>
      </w:r>
    </w:p>
    <w:p>
      <w:pPr>
        <w:pStyle w:val="style179"/>
        <w:numPr>
          <w:ilvl w:val="0"/>
          <w:numId w:val="1"/>
        </w:numPr>
        <w:rPr/>
      </w:pPr>
      <w:r>
        <w:t>Αντίσταση στην απόσχιση</w:t>
      </w:r>
      <w:r>
        <w:t xml:space="preserve"> (</w:t>
      </w:r>
      <w:r>
        <w:rPr>
          <w:lang w:val="en-US"/>
        </w:rPr>
        <w:t>Shear</w:t>
      </w:r>
      <w:r>
        <w:t xml:space="preserve"> </w:t>
      </w:r>
      <w:r>
        <w:rPr>
          <w:lang w:val="en-US"/>
        </w:rPr>
        <w:t>resistance</w:t>
      </w:r>
      <w:r>
        <w:t>)</w:t>
      </w:r>
    </w:p>
    <w:p>
      <w:pPr>
        <w:pStyle w:val="style179"/>
        <w:numPr>
          <w:ilvl w:val="0"/>
          <w:numId w:val="1"/>
        </w:numPr>
        <w:rPr>
          <w:lang w:val="en-US"/>
        </w:rPr>
      </w:pPr>
      <w:r>
        <w:t>Αντίσταση</w:t>
      </w:r>
      <w:r>
        <w:rPr>
          <w:lang w:val="en-US"/>
        </w:rPr>
        <w:t xml:space="preserve"> </w:t>
      </w:r>
      <w:r>
        <w:t>στις</w:t>
      </w:r>
      <w:r>
        <w:rPr>
          <w:lang w:val="en-US"/>
        </w:rPr>
        <w:t xml:space="preserve"> </w:t>
      </w:r>
      <w:r>
        <w:t>ρωγμές</w:t>
      </w:r>
      <w:r>
        <w:rPr>
          <w:lang w:val="en-US"/>
        </w:rPr>
        <w:t xml:space="preserve"> (</w:t>
      </w:r>
      <w:r>
        <w:rPr>
          <w:lang w:val="en-US"/>
        </w:rPr>
        <w:t>Fracture</w:t>
      </w:r>
      <w:r>
        <w:rPr>
          <w:lang w:val="en-US"/>
        </w:rPr>
        <w:t xml:space="preserve"> </w:t>
      </w:r>
      <w:r>
        <w:rPr>
          <w:lang w:val="en-US"/>
        </w:rPr>
        <w:t>resistance)</w:t>
      </w:r>
    </w:p>
    <w:p>
      <w:pPr>
        <w:pStyle w:val="style179"/>
        <w:numPr>
          <w:ilvl w:val="0"/>
          <w:numId w:val="1"/>
        </w:numPr>
        <w:rPr/>
      </w:pPr>
      <w:r>
        <w:t>Απορρόφηση ηχητικών κυμάτων</w:t>
      </w:r>
      <w:r>
        <w:t xml:space="preserve"> (</w:t>
      </w:r>
      <w:r>
        <w:rPr>
          <w:lang w:val="en-US"/>
        </w:rPr>
        <w:t>Acoustic</w:t>
      </w:r>
      <w:r>
        <w:t xml:space="preserve"> </w:t>
      </w:r>
      <w:r>
        <w:rPr>
          <w:lang w:val="en-US"/>
        </w:rPr>
        <w:t>absorption</w:t>
      </w:r>
      <w:r>
        <w:t>)</w:t>
      </w:r>
    </w:p>
    <w:p>
      <w:pPr>
        <w:pStyle w:val="style179"/>
        <w:numPr>
          <w:ilvl w:val="0"/>
          <w:numId w:val="1"/>
        </w:numPr>
        <w:rPr/>
      </w:pPr>
      <w:r>
        <w:t>Συγκλαστική</w:t>
      </w:r>
      <w:r>
        <w:t xml:space="preserve"> συμπεριφορά</w:t>
      </w:r>
      <w:r>
        <w:rPr>
          <w:lang w:val="en-US"/>
        </w:rPr>
        <w:t xml:space="preserve"> (</w:t>
      </w:r>
      <w:r>
        <w:rPr>
          <w:lang w:val="en-US"/>
        </w:rPr>
        <w:t>Synclastic behavior)</w:t>
      </w:r>
    </w:p>
    <w:p>
      <w:pPr>
        <w:pStyle w:val="style179"/>
        <w:numPr>
          <w:ilvl w:val="0"/>
          <w:numId w:val="1"/>
        </w:numPr>
        <w:rPr/>
      </w:pPr>
      <w:r>
        <w:t>Μεταβλητή διαπερατότητα</w:t>
      </w:r>
      <w:r>
        <w:rPr>
          <w:lang w:val="en-US"/>
        </w:rPr>
        <w:t xml:space="preserve"> (</w:t>
      </w:r>
      <w:r>
        <w:rPr>
          <w:lang w:val="en-US"/>
        </w:rPr>
        <w:t>Variable permeability)</w:t>
      </w:r>
    </w:p>
    <w:p>
      <w:pPr>
        <w:pStyle w:val="style179"/>
        <w:ind w:left="0"/>
        <w:rPr>
          <w:lang w:val="en-US"/>
        </w:rPr>
      </w:pPr>
    </w:p>
    <w:p>
      <w:pPr>
        <w:pStyle w:val="style179"/>
        <w:ind w:left="0"/>
        <w:rPr/>
      </w:pPr>
      <w:r>
        <w:t xml:space="preserve">Παίρνοντας υπόψιν τις ιδιότητες που χαρακτηρίζουν αυτά τα υλικά, λόγω του αρνητικού λόγου </w:t>
      </w:r>
      <w:r>
        <w:rPr>
          <w:lang w:val="en-US"/>
        </w:rPr>
        <w:t>Poisson</w:t>
      </w:r>
      <w:r>
        <w:t>, δημιουργο</w:t>
      </w:r>
      <w:r>
        <w:t>ύνται</w:t>
      </w:r>
      <w:r>
        <w:t xml:space="preserve"> συνθήκες για την παραγωγή και χρήση </w:t>
      </w:r>
      <w:r>
        <w:t>τους σε μέρη όπου τα συμβατικά υλικά είναι λιγότερο αποδοτικά.</w:t>
      </w:r>
    </w:p>
    <w:p>
      <w:pPr>
        <w:pStyle w:val="style179"/>
        <w:ind w:left="0"/>
        <w:rPr/>
      </w:pPr>
    </w:p>
    <w:p>
      <w:pPr>
        <w:pStyle w:val="style179"/>
        <w:ind w:left="0"/>
        <w:rPr/>
      </w:pPr>
      <w:r>
        <w:t xml:space="preserve">Μια εφαρμογή τους </w:t>
      </w:r>
      <w:r>
        <w:t>είναι στη δημιουργία πιεζοηλεκτρικών αισθητήρων,</w:t>
      </w:r>
      <w:r>
        <w:t xml:space="preserve"> όπου</w:t>
      </w:r>
      <w:r>
        <w:t xml:space="preserve"> το χαμη</w:t>
      </w:r>
      <w:r>
        <w:t>λό μέτρο ελαστικότητας του όγκου τα κάνει πιο συνετή επιλογή στην μεταβλητότητα της πίεσης</w:t>
      </w:r>
      <w:r>
        <w:t xml:space="preserve">. Μια άλλη </w:t>
      </w:r>
      <w:r>
        <w:t xml:space="preserve">ενδιαφέρουσα εφαρμογή τους είναι στην βιοϊατρική, όπου </w:t>
      </w:r>
      <w:r>
        <w:t xml:space="preserve">η εξέλιξη των υλικών θα επιτρέψει την δημιουργία </w:t>
      </w:r>
      <w:r>
        <w:t>αιμοφόρων</w:t>
      </w:r>
      <w:r>
        <w:t xml:space="preserve"> α</w:t>
      </w:r>
      <w:r>
        <w:t>γγείων που θα διευρύνονται όταν το αίμα θα ρέει μέσα τους.</w:t>
      </w:r>
      <w:r>
        <w:t xml:space="preserve"> Τέλος, η εφαρμογή που</w:t>
      </w:r>
      <w:r>
        <w:t xml:space="preserve"> αφορά περισσότερο αυτή την εργασία, είναι η χρήση τους ως μονωτικά υλικά σε κατασκευές αλλά και ως αποσβεστήρες ταλαντώσεων.</w:t>
      </w:r>
    </w:p>
    <w:p>
      <w:pPr>
        <w:pStyle w:val="style179"/>
        <w:numPr>
          <w:ilvl w:val="0"/>
          <w:numId w:val="1"/>
        </w:numPr>
        <w:rPr/>
      </w:pPr>
      <w:r>
        <w:br w:type="page"/>
      </w:r>
    </w:p>
    <w:bookmarkStart w:id="18" w:name="_Toc77270427"/>
    <w:p>
      <w:pPr>
        <w:pStyle w:val="style1"/>
        <w:rPr/>
      </w:pPr>
      <w:r>
        <w:t xml:space="preserve">Κεφάλαιο 3 – </w:t>
      </w:r>
      <w:bookmarkEnd w:id="15"/>
      <w:r>
        <w:t>Γεωμετρία της δομής</w:t>
      </w:r>
      <w:bookmarkEnd w:id="18"/>
    </w:p>
    <w:p>
      <w:pPr>
        <w:pStyle w:val="style0"/>
        <w:rPr/>
      </w:pPr>
    </w:p>
    <w:p>
      <w:pPr>
        <w:pStyle w:val="style0"/>
        <w:rPr/>
      </w:pPr>
      <w:r>
        <w:t>Η ευρύτερη ομάδα γεωμετρίας δομής που χρησιμοποιείται στην παρούσα μελέτη, είναι αυτή των χειρόμορφων</w:t>
      </w:r>
      <w:r>
        <w:t xml:space="preserve"> (</w:t>
      </w:r>
      <w:r>
        <w:rPr>
          <w:lang w:val="en-US"/>
        </w:rPr>
        <w:t>chiral</w:t>
      </w:r>
      <w:r>
        <w:t>)</w:t>
      </w:r>
      <w:r>
        <w:t xml:space="preserve"> και των αντιχειρόμοφων (</w:t>
      </w:r>
      <w:r>
        <w:rPr>
          <w:lang w:val="en-US"/>
        </w:rPr>
        <w:t>antispiral</w:t>
      </w:r>
      <w:r>
        <w:t>)</w:t>
      </w:r>
      <w:r>
        <w:t xml:space="preserve">. Ειδικότερα, οι δομές αυτές αποτελούνται από μια παράταξη κυλίνδρων, που συνδέονται μεταξύ </w:t>
      </w:r>
      <w:r>
        <w:t>τους με εφαπτόμενους συνδέσμους.  Ανάλογα με τον αριθμό των συνδέσμων έχουμε τις τριχειρόμορφες (</w:t>
      </w:r>
      <w:r>
        <w:rPr>
          <w:lang w:val="en-US"/>
        </w:rPr>
        <w:t>trichiral</w:t>
      </w:r>
      <w:r>
        <w:t>), τις τετραχειρόμορφες (</w:t>
      </w:r>
      <w:r>
        <w:rPr>
          <w:lang w:val="en-US"/>
        </w:rPr>
        <w:t>tetrachiral</w:t>
      </w:r>
      <w:r>
        <w:t>) κοκ.</w:t>
      </w:r>
    </w:p>
    <w:p>
      <w:pPr>
        <w:pStyle w:val="style0"/>
        <w:rPr/>
      </w:pPr>
      <w:r>
        <w:t>Στις αντιχειρόμορφες δομές, όπως φαίνεται και στην παρακάτω εικόνα, οι σύνδεσμοι εφάπτονται στην ίδια μερ</w:t>
      </w:r>
      <w:r>
        <w:t xml:space="preserve">ιά, σε αντίθεση με τις χειρόμορφες, και οι δομές ονομάζονται ανάλογα με τον αριθμό των συνδέσμων </w:t>
      </w:r>
      <w:r>
        <w:t>αντιτριχειρομορφες (</w:t>
      </w:r>
      <w:r>
        <w:rPr>
          <w:lang w:val="en-US"/>
        </w:rPr>
        <w:t>anti</w:t>
      </w:r>
      <w:r>
        <w:t xml:space="preserve"> </w:t>
      </w:r>
      <w:r>
        <w:rPr>
          <w:lang w:val="en-US"/>
        </w:rPr>
        <w:t>trichiral</w:t>
      </w:r>
      <w:r>
        <w:t>), αντιτετραχειρομορφες</w:t>
      </w:r>
      <w:r>
        <w:t xml:space="preserve"> </w:t>
      </w:r>
      <w:r>
        <w:t>(</w:t>
      </w:r>
      <w:r>
        <w:rPr>
          <w:lang w:val="en-US"/>
        </w:rPr>
        <w:t>anti</w:t>
      </w:r>
      <w:r>
        <w:t xml:space="preserve"> </w:t>
      </w:r>
      <w:r>
        <w:rPr>
          <w:lang w:val="en-US"/>
        </w:rPr>
        <w:t>tetrachiral</w:t>
      </w:r>
      <w:r>
        <w:t>) κοκ.</w:t>
      </w:r>
      <w:r>
        <w:t>[7]</w:t>
      </w:r>
      <w:r>
        <w:t>,[11]</w:t>
      </w:r>
    </w:p>
    <w:p>
      <w:pPr>
        <w:pStyle w:val="style0"/>
        <w:keepNext/>
        <w:rPr/>
      </w:pPr>
      <w:r>
        <w:rPr>
          <w:noProof/>
        </w:rPr>
        <w:drawing>
          <wp:inline distL="0" distT="0" distB="0" distR="0">
            <wp:extent cx="5274310" cy="3504565"/>
            <wp:effectExtent l="0" t="0" r="2540" b="635"/>
            <wp:docPr id="1029" name="Εικόνα 1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 name="Εικόνα 18"/>
                    <pic:cNvPicPr/>
                  </pic:nvPicPr>
                  <pic:blipFill>
                    <a:blip r:embed="rId5" cstate="print"/>
                    <a:srcRect l="0" t="0" r="0" b="0"/>
                    <a:stretch/>
                  </pic:blipFill>
                  <pic:spPr>
                    <a:xfrm rot="0">
                      <a:off x="0" y="0"/>
                      <a:ext cx="5274310" cy="3504565"/>
                    </a:xfrm>
                    <a:prstGeom prst="rect"/>
                  </pic:spPr>
                </pic:pic>
              </a:graphicData>
            </a:graphic>
          </wp:inline>
        </w:drawing>
      </w:r>
    </w:p>
    <w:p>
      <w:pPr>
        <w:pStyle w:val="style34"/>
        <w:rPr/>
      </w:pPr>
      <w:r>
        <w:t xml:space="preserve">Εικόνα </w:t>
      </w:r>
      <w:r>
        <w:rPr/>
        <w:fldChar w:fldCharType="begin"/>
      </w:r>
      <w:r>
        <w:instrText xml:space="preserve"> SEQ Εικόνα \* ARABIC </w:instrText>
      </w:r>
      <w:r>
        <w:rPr/>
        <w:fldChar w:fldCharType="separate"/>
      </w:r>
      <w:r>
        <w:rPr>
          <w:noProof/>
        </w:rPr>
        <w:t>3</w:t>
      </w:r>
      <w:r>
        <w:rPr/>
        <w:fldChar w:fldCharType="end"/>
      </w:r>
      <w:r>
        <w:t xml:space="preserve"> </w:t>
      </w:r>
      <w:r>
        <w:t xml:space="preserve">Μορφή </w:t>
      </w:r>
      <w:r>
        <w:t>χειρομόρφων</w:t>
      </w:r>
      <w:r>
        <w:t xml:space="preserve"> και </w:t>
      </w:r>
      <w:r>
        <w:t>αντιχειρομόφων</w:t>
      </w:r>
      <w:r>
        <w:t xml:space="preserve"> δομών</w:t>
      </w:r>
    </w:p>
    <w:p>
      <w:pPr>
        <w:pStyle w:val="style0"/>
        <w:rPr/>
      </w:pPr>
    </w:p>
    <w:p>
      <w:pPr>
        <w:pStyle w:val="style0"/>
        <w:rPr/>
      </w:pPr>
      <w:r>
        <w:t>Υπάρχουν δύο μεγέθη που χρησιμοποιούνται για να χαρακτηρίσουν αυτές τις δομές γεωμετρίας</w:t>
      </w:r>
      <w:r>
        <w:t xml:space="preserve">, ο λόγος </w:t>
      </w:r>
      <w:r>
        <w:rPr>
          <w:lang w:val="en-US"/>
        </w:rPr>
        <w:t>r</w:t>
      </w:r>
      <w:r>
        <w:t>/</w:t>
      </w:r>
      <w:r>
        <w:rPr>
          <w:lang w:val="en-US"/>
        </w:rPr>
        <w:t>L</w:t>
      </w:r>
      <w:r>
        <w:t xml:space="preserve">, με </w:t>
      </w:r>
      <w:r>
        <w:rPr>
          <w:lang w:val="en-US"/>
        </w:rPr>
        <w:t>r</w:t>
      </w:r>
      <w:r>
        <w:t xml:space="preserve"> την ακτίνα κυλίνδρου και </w:t>
      </w:r>
      <w:r>
        <w:rPr>
          <w:lang w:val="en-US"/>
        </w:rPr>
        <w:t>L</w:t>
      </w:r>
      <w:r>
        <w:t xml:space="preserve"> </w:t>
      </w:r>
      <w:r>
        <w:t xml:space="preserve">το μήκος του </w:t>
      </w:r>
      <w:r>
        <w:t xml:space="preserve">συνδέσμου </w:t>
      </w:r>
      <w:r>
        <w:t xml:space="preserve">ανάμεσα σε δυο κυλίνδρους, και η σχετική </w:t>
      </w:r>
      <w:r>
        <w:t>π</w:t>
      </w:r>
      <w:r>
        <w:t>υκνότητα , όπως ορίζεται σ</w:t>
      </w:r>
      <w:r>
        <w:t xml:space="preserve">την παραπάνω εικόνα με </w:t>
      </w:r>
      <w:r>
        <w:rPr>
          <w:lang w:val="en-US"/>
        </w:rPr>
        <w:t>t</w:t>
      </w:r>
      <w:r>
        <w:t xml:space="preserve"> το πάχος του τοιχώματος.</w:t>
      </w:r>
    </w:p>
    <w:p>
      <w:pPr>
        <w:pStyle w:val="style0"/>
        <w:rPr/>
      </w:pPr>
    </w:p>
    <w:p>
      <w:pPr>
        <w:pStyle w:val="style0"/>
        <w:rPr/>
      </w:pPr>
      <w:r>
        <w:t>Για την εκπόνηση της ακόλουθης μελέτης έγινε χρ</w:t>
      </w:r>
      <w:r>
        <w:t xml:space="preserve">ήση της τετραχειρόμορφης δομής </w:t>
      </w:r>
      <w:r>
        <w:t>(</w:t>
      </w:r>
      <w:r>
        <w:rPr>
          <w:lang w:val="en-US"/>
        </w:rPr>
        <w:t>tetr</w:t>
      </w:r>
      <w:r>
        <w:rPr>
          <w:lang w:val="en-US"/>
        </w:rPr>
        <w:t>achiral</w:t>
      </w:r>
      <w:r>
        <w:t>)</w:t>
      </w:r>
      <w:r>
        <w:t xml:space="preserve">, αρχικά δίχως </w:t>
      </w:r>
      <w:r>
        <w:t>κυκλικό έγκλεισμα (πυρήνα) και στην συνέχεια με κυκλικό έγκλεισμα</w:t>
      </w:r>
      <w:r>
        <w:t>, διαφορετικού υλικού από τον κύλινδρο,</w:t>
      </w:r>
      <w:r>
        <w:t xml:space="preserve"> ακτίνας </w:t>
      </w:r>
      <w:r>
        <w:rPr>
          <w:lang w:val="en-US"/>
        </w:rPr>
        <w:t>r</w:t>
      </w:r>
      <w:r>
        <w:rPr>
          <w:vertAlign w:val="subscript"/>
          <w:lang w:val="en-US"/>
        </w:rPr>
        <w:t>c</w:t>
      </w:r>
      <w:r>
        <w:t>=</w:t>
      </w:r>
      <w:r>
        <w:rPr>
          <w:lang w:val="en-US"/>
        </w:rPr>
        <w:t>r</w:t>
      </w:r>
      <w:r>
        <w:t>/4</w:t>
      </w:r>
      <w:r>
        <w:t>. Σημειώνεται πως και στις δυο περιπτώσεις έγινε χρήση υλικού επένδυσης μέσα στ</w:t>
      </w:r>
      <w:r>
        <w:t xml:space="preserve">α όρια του κυλίνδρου. </w:t>
      </w:r>
      <w:r>
        <w:t>Η δομή με το κυκλικό έγκλεισμα παρουσιάζεται στην παρακάτω εικόνα:</w:t>
      </w:r>
    </w:p>
    <w:p>
      <w:pPr>
        <w:pStyle w:val="style0"/>
        <w:keepNext/>
        <w:rPr/>
      </w:pPr>
      <w:r>
        <w:rPr>
          <w:noProof/>
        </w:rPr>
        <w:drawing>
          <wp:inline distL="0" distT="0" distB="0" distR="0">
            <wp:extent cx="5274310" cy="2505710"/>
            <wp:effectExtent l="0" t="0" r="2540" b="8890"/>
            <wp:docPr id="1030" name="Εικόνα 2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 name="Εικόνα 20"/>
                    <pic:cNvPicPr/>
                  </pic:nvPicPr>
                  <pic:blipFill>
                    <a:blip r:embed="rId6" cstate="print"/>
                    <a:srcRect l="0" t="0" r="0" b="0"/>
                    <a:stretch/>
                  </pic:blipFill>
                  <pic:spPr>
                    <a:xfrm rot="0">
                      <a:off x="0" y="0"/>
                      <a:ext cx="5274310" cy="2505710"/>
                    </a:xfrm>
                    <a:prstGeom prst="rect"/>
                    <a:ln>
                      <a:noFill/>
                    </a:ln>
                  </pic:spPr>
                </pic:pic>
              </a:graphicData>
            </a:graphic>
          </wp:inline>
        </w:drawing>
      </w:r>
    </w:p>
    <w:p>
      <w:pPr>
        <w:pStyle w:val="style34"/>
        <w:rPr/>
      </w:pPr>
      <w:r>
        <w:t xml:space="preserve">Εικόνα </w:t>
      </w:r>
      <w:r>
        <w:rPr/>
        <w:fldChar w:fldCharType="begin"/>
      </w:r>
      <w:r>
        <w:instrText xml:space="preserve"> SEQ Εικόνα \* ARABIC </w:instrText>
      </w:r>
      <w:r>
        <w:rPr/>
        <w:fldChar w:fldCharType="separate"/>
      </w:r>
      <w:r>
        <w:rPr>
          <w:noProof/>
        </w:rPr>
        <w:t>4</w:t>
      </w:r>
      <w:r>
        <w:rPr/>
        <w:fldChar w:fldCharType="end"/>
      </w:r>
      <w:r>
        <w:t xml:space="preserve"> Γκρι: </w:t>
      </w:r>
      <w:r>
        <w:rPr>
          <w:lang w:val="en-US"/>
        </w:rPr>
        <w:t>Tungsten</w:t>
      </w:r>
      <w:r>
        <w:t xml:space="preserve"> </w:t>
      </w:r>
      <w:r>
        <w:t>, Μπλε:</w:t>
      </w:r>
      <w:r>
        <w:t xml:space="preserve"> Υλικό επένδυσης </w:t>
      </w:r>
      <w:r>
        <w:t>,</w:t>
      </w:r>
      <w:r>
        <w:rPr>
          <w:noProof/>
        </w:rPr>
        <w:t xml:space="preserve"> Πράσινο:</w:t>
      </w:r>
      <w:r>
        <w:rPr>
          <w:noProof/>
        </w:rPr>
        <w:t xml:space="preserve"> </w:t>
      </w:r>
      <w:r>
        <w:rPr>
          <w:noProof/>
          <w:lang w:val="en-US"/>
        </w:rPr>
        <w:t>Copper</w:t>
      </w:r>
      <w:r>
        <w:br w:type="page"/>
      </w:r>
    </w:p>
    <w:p>
      <w:pPr>
        <w:pStyle w:val="style0"/>
        <w:rPr/>
      </w:pPr>
    </w:p>
    <w:bookmarkStart w:id="19" w:name="_Toc66524596"/>
    <w:bookmarkStart w:id="20" w:name="_Toc77270428"/>
    <w:p>
      <w:pPr>
        <w:pStyle w:val="style1"/>
        <w:rPr/>
      </w:pPr>
      <w:r>
        <w:t xml:space="preserve">Κεφάλαιο 4 – Χάσματα συχνοτήτων </w:t>
      </w:r>
      <w:r>
        <w:t>(</w:t>
      </w:r>
      <w:r>
        <w:rPr>
          <w:lang w:val="en-US"/>
        </w:rPr>
        <w:t>Band</w:t>
      </w:r>
      <w:r>
        <w:t xml:space="preserve"> </w:t>
      </w:r>
      <w:r>
        <w:rPr>
          <w:lang w:val="en-US"/>
        </w:rPr>
        <w:t>gaps</w:t>
      </w:r>
      <w:r>
        <w:t>)</w:t>
      </w:r>
      <w:bookmarkEnd w:id="19"/>
      <w:bookmarkEnd w:id="20"/>
    </w:p>
    <w:p>
      <w:pPr>
        <w:pStyle w:val="style0"/>
        <w:rPr/>
      </w:pPr>
    </w:p>
    <w:p>
      <w:pPr>
        <w:pStyle w:val="style0"/>
        <w:rPr/>
      </w:pPr>
      <w:r>
        <w:t xml:space="preserve">Στην </w:t>
      </w:r>
      <w:r>
        <w:t>ακουστική</w:t>
      </w:r>
      <w:r>
        <w:t xml:space="preserve"> χάσμα συχνότητας υπάρχει όταν μέσα σε ένα υλικό υπάρχει αδυναμία μετάδοσης ενός κύματος (ενέργειας), είτε σε συγκεκριμένη συχνότητα είτε σε ευρύτερο φάσμα συχνοτήτων.</w:t>
      </w:r>
    </w:p>
    <w:p>
      <w:pPr>
        <w:pStyle w:val="style0"/>
        <w:rPr/>
      </w:pPr>
      <w:r>
        <w:t xml:space="preserve"> </w:t>
      </w:r>
      <w:r>
        <w:t>Υ</w:t>
      </w:r>
      <w:r>
        <w:t xml:space="preserve">πάρχουν </w:t>
      </w:r>
      <w:r>
        <w:t xml:space="preserve">περιοδικά </w:t>
      </w:r>
      <w:r>
        <w:t xml:space="preserve">υλικά που ονομάζονται φωνονικοί κρύσταλλοι </w:t>
      </w:r>
      <w:r>
        <w:t>και</w:t>
      </w:r>
      <w:r>
        <w:t xml:space="preserve"> σχεδιάζονται με τέτοιο τρόπο ώστε να </w:t>
      </w:r>
      <w:r>
        <w:t>παράγονται συγκεκριμένα χάσματα συχνοτήτων</w:t>
      </w:r>
      <w:r>
        <w:t xml:space="preserve"> για στοχευμένη μόνωση.</w:t>
      </w:r>
      <w:r>
        <w:br w:type="page"/>
      </w:r>
    </w:p>
    <w:bookmarkStart w:id="21" w:name="_Toc66524595"/>
    <w:bookmarkStart w:id="22" w:name="_Toc77270429"/>
    <w:p>
      <w:pPr>
        <w:pStyle w:val="style1"/>
        <w:rPr/>
      </w:pPr>
      <w:r>
        <w:t xml:space="preserve">Κεφάλαιο </w:t>
      </w:r>
      <w:r>
        <w:t>5</w:t>
      </w:r>
      <w:r>
        <w:t xml:space="preserve"> – </w:t>
      </w:r>
      <w:r>
        <w:t>Θεωρήματα</w:t>
      </w:r>
      <w:r>
        <w:t xml:space="preserve"> </w:t>
      </w:r>
      <w:r>
        <w:rPr>
          <w:lang w:val="en-US"/>
        </w:rPr>
        <w:t>Floque</w:t>
      </w:r>
      <w:r>
        <w:rPr>
          <w:lang w:val="en-US"/>
        </w:rPr>
        <w:t>t</w:t>
      </w:r>
      <w:r>
        <w:t xml:space="preserve">, </w:t>
      </w:r>
      <w:r>
        <w:rPr>
          <w:lang w:val="en-US"/>
        </w:rPr>
        <w:t>Bloch</w:t>
      </w:r>
      <w:r>
        <w:t xml:space="preserve"> </w:t>
      </w:r>
      <w:bookmarkEnd w:id="21"/>
      <w:r>
        <w:t>και εφαρμογή στο μοντέλο</w:t>
      </w:r>
      <w:bookmarkEnd w:id="22"/>
    </w:p>
    <w:p>
      <w:pPr>
        <w:pStyle w:val="style0"/>
        <w:rPr/>
      </w:pPr>
    </w:p>
    <w:bookmarkStart w:id="23" w:name="_Toc77270430"/>
    <w:p>
      <w:pPr>
        <w:pStyle w:val="style2"/>
        <w:rPr/>
      </w:pPr>
      <w:r>
        <w:t xml:space="preserve">Θεώρημα </w:t>
      </w:r>
      <w:r>
        <w:rPr>
          <w:lang w:val="en-US"/>
        </w:rPr>
        <w:t>Floquet</w:t>
      </w:r>
      <w:bookmarkEnd w:id="23"/>
    </w:p>
    <w:p>
      <w:pPr>
        <w:pStyle w:val="style0"/>
        <w:rPr/>
      </w:pPr>
    </w:p>
    <w:p>
      <w:pPr>
        <w:pStyle w:val="style0"/>
        <w:rPr/>
      </w:pPr>
      <w:r>
        <w:t xml:space="preserve">Το θεώρημα </w:t>
      </w:r>
      <w:r>
        <w:rPr>
          <w:lang w:val="en-US"/>
        </w:rPr>
        <w:t>Floquet</w:t>
      </w:r>
      <w:r>
        <w:t>, είναι μια μεθοδολογία επίλυσης διαφορικών εξισώσεων της μορφής:</w:t>
      </w:r>
    </w:p>
    <w:p>
      <w:pPr>
        <w:pStyle w:val="style0"/>
        <w:jc w:val="center"/>
        <w:rPr>
          <w:rFonts w:eastAsia="宋体"/>
        </w:rPr>
      </w:pPr>
      <m:oMath>
        <m:f>
          <m:fPr>
            <m:ctrlPr>
              <w:rPr>
                <w:rFonts w:ascii="Cambria Math" w:hAnsi="Cambria Math"/>
              </w:rPr>
            </m:ctrlPr>
          </m:fPr>
          <m:num>
            <m:r>
              <w:rPr>
                <w:rFonts w:ascii="Cambria Math" w:hAnsi="Cambria Math"/>
              </w:rPr>
              <m:t>dw</m:t>
            </m:r>
            <m:d>
              <m:dPr>
                <m:endChr m:val=")"/>
                <m:ctrlPr>
                  <w:rPr>
                    <w:rFonts w:ascii="Cambria Math" w:hAnsi="Cambria Math"/>
                  </w:rPr>
                </m:ctrlPr>
              </m:dPr>
              <m:e>
                <m:r>
                  <w:rPr>
                    <w:rFonts w:ascii="Cambria Math" w:hAnsi="Cambria Math"/>
                  </w:rPr>
                  <m:t>x</m:t>
                </m:r>
              </m:e>
            </m:d>
          </m:num>
          <m:den>
            <m:r>
              <w:rPr>
                <w:rFonts w:ascii="Cambria Math" w:hAnsi="Cambria Math"/>
              </w:rPr>
              <m:t>dx</m:t>
            </m:r>
          </m:den>
        </m:f>
        <m:r>
          <w:rPr>
            <w:rFonts w:ascii="Cambria Math" w:hAnsi="Cambria Math"/>
          </w:rPr>
          <m:t>=A</m:t>
        </m:r>
        <m:d>
          <m:dPr>
            <m:endChr m:val=")"/>
            <m:ctrlPr>
              <w:rPr>
                <w:rFonts w:ascii="Cambria Math" w:hAnsi="Cambria Math"/>
              </w:rPr>
            </m:ctrlPr>
          </m:dPr>
          <m:e>
            <m:r>
              <w:rPr>
                <w:rFonts w:ascii="Cambria Math" w:hAnsi="Cambria Math"/>
              </w:rPr>
              <m:t>x</m:t>
            </m:r>
          </m:e>
        </m:d>
        <m:r>
          <w:rPr>
            <w:rFonts w:ascii="Cambria Math" w:hAnsi="Cambria Math"/>
          </w:rPr>
          <m:t>w</m:t>
        </m:r>
        <m:d>
          <m:dPr>
            <m:endChr m:val=")"/>
            <m:ctrlPr>
              <w:rPr>
                <w:rFonts w:ascii="Cambria Math" w:hAnsi="Cambria Math"/>
              </w:rPr>
            </m:ctrlPr>
          </m:dPr>
          <m:e>
            <m:r>
              <w:rPr>
                <w:rFonts w:ascii="Cambria Math" w:hAnsi="Cambria Math"/>
              </w:rPr>
              <m:t>x</m:t>
            </m:r>
          </m:e>
        </m:d>
        <m:r>
          <w:rPr>
            <w:rFonts w:ascii="Cambria Math" w:hAnsi="Cambria Math"/>
          </w:rPr>
          <m:t>, ∀x∈</m:t>
        </m:r>
        <m:r>
          <m:rPr>
            <m:sty m:val="p"/>
            <m:scr m:val="double-struck"/>
          </m:rPr>
          <w:rPr>
            <w:rFonts w:ascii="Cambria Math" w:hAnsi="Cambria Math"/>
          </w:rPr>
          <m:t>R</m:t>
        </m:r>
      </m:oMath>
      <w:r>
        <w:rPr>
          <w:rFonts w:eastAsia="宋体"/>
        </w:rPr>
        <w:tab/>
      </w:r>
      <w:r>
        <w:rPr>
          <w:rFonts w:eastAsia="宋体"/>
        </w:rPr>
        <w:t>(5)</w:t>
      </w:r>
    </w:p>
    <w:p>
      <w:pPr>
        <w:pStyle w:val="style0"/>
        <w:rPr>
          <w:rFonts w:eastAsia="宋体"/>
        </w:rPr>
      </w:pPr>
      <w:r>
        <w:rPr>
          <w:rFonts w:eastAsia="宋体"/>
        </w:rPr>
        <w:t xml:space="preserve">Όπου </w:t>
      </w:r>
      <m:oMath>
        <m:r>
          <w:rPr>
            <w:rFonts w:ascii="Cambria Math" w:hAnsi="Cambria Math"/>
          </w:rPr>
          <m:t>w</m:t>
        </m:r>
        <m:d>
          <m:dPr>
            <m:endChr m:val=")"/>
            <m:ctrlPr>
              <w:rPr>
                <w:rFonts w:ascii="Cambria Math" w:hAnsi="Cambria Math"/>
              </w:rPr>
            </m:ctrlPr>
          </m:dPr>
          <m:e>
            <m:r>
              <w:rPr>
                <w:rFonts w:ascii="Cambria Math" w:hAnsi="Cambria Math"/>
              </w:rPr>
              <m:t>x</m:t>
            </m:r>
          </m:e>
        </m:d>
        <m:r>
          <w:rPr>
            <w:rFonts w:ascii="Cambria Math" w:hAnsi="Cambria Math"/>
          </w:rPr>
          <m:t>:</m:t>
        </m:r>
        <m:r>
          <m:rPr>
            <m:sty m:val="p"/>
            <m:scr m:val="double-struck"/>
          </m:rPr>
          <w:rPr>
            <w:rFonts w:ascii="Cambria Math" w:hAnsi="Cambria Math"/>
          </w:rPr>
          <m:t>R</m:t>
        </m:r>
        <m:r>
          <w:rPr>
            <w:rFonts w:ascii="Cambria Math" w:hAnsi="Cambria Math"/>
          </w:rPr>
          <m:t>→</m:t>
        </m:r>
        <m:sSup>
          <m:sSupPr>
            <m:ctrlPr>
              <w:rPr>
                <w:rFonts w:ascii="Cambria Math" w:hAnsi="Cambria Math"/>
              </w:rPr>
            </m:ctrlPr>
          </m:sSupPr>
          <m:e>
            <m:r>
              <m:rPr>
                <m:sty m:val="p"/>
                <m:scr m:val="double-struck"/>
              </m:rPr>
              <w:rPr>
                <w:rFonts w:ascii="Cambria Math" w:hAnsi="Cambria Math"/>
              </w:rPr>
              <m:t>C</m:t>
            </m:r>
          </m:e>
          <m:sup>
            <m:r>
              <w:rPr>
                <w:rFonts w:ascii="Cambria Math" w:hAnsi="Cambria Math"/>
              </w:rPr>
              <m:t>n</m:t>
            </m:r>
          </m:sup>
        </m:sSup>
      </m:oMath>
      <w:r>
        <w:rPr>
          <w:rFonts w:eastAsia="宋体"/>
        </w:rPr>
        <w:t xml:space="preserve"> </w:t>
      </w:r>
      <w:r>
        <w:rPr>
          <w:rFonts w:eastAsia="宋体"/>
        </w:rPr>
        <w:t xml:space="preserve">είναι μια άγνωστη συνάρτηση και </w:t>
      </w:r>
      <m:oMath>
        <m:r>
          <w:rPr>
            <w:rFonts w:ascii="Cambria Math" w:hAnsi="Cambria Math"/>
          </w:rPr>
          <m:t>A</m:t>
        </m:r>
        <m:d>
          <m:dPr>
            <m:endChr m:val=")"/>
            <m:ctrlPr>
              <w:rPr>
                <w:rFonts w:ascii="Cambria Math" w:hAnsi="Cambria Math"/>
              </w:rPr>
            </m:ctrlPr>
          </m:dPr>
          <m:e>
            <m:r>
              <w:rPr>
                <w:rFonts w:ascii="Cambria Math" w:hAnsi="Cambria Math"/>
              </w:rPr>
              <m:t>x</m:t>
            </m:r>
          </m:e>
        </m:d>
      </m:oMath>
      <w:r>
        <w:rPr>
          <w:rFonts w:eastAsia="宋体"/>
        </w:rPr>
        <w:t xml:space="preserve"> </w:t>
      </w:r>
      <w:r>
        <w:rPr>
          <w:rFonts w:eastAsia="宋体"/>
        </w:rPr>
        <w:t xml:space="preserve">ένας πίνακας περιοδικών συναρτήσεων με περίοδο </w:t>
      </w:r>
      <w:r>
        <w:rPr>
          <w:rFonts w:eastAsia="宋体"/>
          <w:lang w:val="en-US"/>
        </w:rPr>
        <w:t>r</w:t>
      </w:r>
      <w:r>
        <w:rPr>
          <w:rFonts w:eastAsia="宋体"/>
          <w:vertAlign w:val="subscript"/>
        </w:rPr>
        <w:t>1</w:t>
      </w:r>
      <w:r>
        <w:rPr>
          <w:rFonts w:eastAsia="宋体"/>
        </w:rPr>
        <w:t xml:space="preserve"> (δηλαδή </w:t>
      </w:r>
      <m:oMath>
        <m:r>
          <w:rPr>
            <w:rFonts w:ascii="Cambria Math" w:hAnsi="Cambria Math"/>
          </w:rPr>
          <m:t>A</m:t>
        </m:r>
        <m:d>
          <m:dPr>
            <m:endChr m:val=")"/>
            <m:ctrlPr>
              <w:rPr>
                <w:rFonts w:ascii="Cambria Math" w:hAnsi="Cambria Math"/>
              </w:rPr>
            </m:ctrlPr>
          </m:dPr>
          <m:e>
            <m:r>
              <w:rPr>
                <w:rFonts w:ascii="Cambria Math" w:hAnsi="Cambria Math"/>
              </w:rPr>
              <m:t>x+</m:t>
            </m:r>
            <m:sSub>
              <m:sSubPr>
                <m:ctrlPr>
                  <w:rPr>
                    <w:rFonts w:ascii="Cambria Math" w:hAnsi="Cambria Math"/>
                  </w:rPr>
                </m:ctrlPr>
              </m:sSubPr>
              <m:e>
                <m:r>
                  <w:rPr>
                    <w:rFonts w:ascii="Cambria Math" w:hAnsi="Cambria Math"/>
                  </w:rPr>
                  <m:t>r</m:t>
                </m:r>
              </m:e>
              <m:sub>
                <m:r>
                  <w:rPr>
                    <w:rFonts w:ascii="Cambria Math" w:hAnsi="Cambria Math"/>
                  </w:rPr>
                  <m:t>1</m:t>
                </m:r>
              </m:sub>
            </m:sSub>
          </m:e>
        </m:d>
        <m:r>
          <w:rPr>
            <w:rFonts w:ascii="Cambria Math" w:hAnsi="Cambria Math"/>
          </w:rPr>
          <m:t>=A</m:t>
        </m:r>
        <m:d>
          <m:dPr>
            <m:endChr m:val=")"/>
            <m:ctrlPr>
              <w:rPr>
                <w:rFonts w:ascii="Cambria Math" w:hAnsi="Cambria Math"/>
              </w:rPr>
            </m:ctrlPr>
          </m:dPr>
          <m:e>
            <m:r>
              <w:rPr>
                <w:rFonts w:ascii="Cambria Math" w:hAnsi="Cambria Math"/>
              </w:rPr>
              <m:t>x</m:t>
            </m:r>
          </m:e>
        </m:d>
      </m:oMath>
      <w:r>
        <w:rPr>
          <w:rFonts w:eastAsia="宋体"/>
        </w:rPr>
        <w:t xml:space="preserve"> ). </w:t>
      </w:r>
      <w:r>
        <w:rPr>
          <w:rFonts w:eastAsia="宋体"/>
        </w:rPr>
        <w:t xml:space="preserve">Βάσει του θεωρήματος, κάθε επίλυση του συστήματος εξισώσεων εκφράζεται ως γραμμικός συνδυασμός των συναρτήσεων </w:t>
      </w:r>
      <m:oMath>
        <m:r>
          <w:rPr>
            <w:rFonts w:ascii="Cambria Math" w:hAnsi="Cambria Math"/>
          </w:rPr>
          <m:t>v</m:t>
        </m:r>
        <m:d>
          <m:dPr>
            <m:endChr m:val=")"/>
            <m:ctrlPr>
              <w:rPr>
                <w:rFonts w:ascii="Cambria Math" w:hAnsi="Cambria Math"/>
              </w:rPr>
            </m:ctrlPr>
          </m:dPr>
          <m:e>
            <m:r>
              <w:rPr>
                <w:rFonts w:ascii="Cambria Math" w:hAnsi="Cambria Math"/>
              </w:rPr>
              <m:t>x</m:t>
            </m:r>
          </m:e>
        </m:d>
        <m:sSup>
          <m:sSupPr>
            <m:ctrlPr>
              <w:rPr>
                <w:rFonts w:ascii="Cambria Math" w:hAnsi="Cambria Math"/>
              </w:rPr>
            </m:ctrlPr>
          </m:sSupPr>
          <m:e>
            <m:r>
              <w:rPr>
                <w:rFonts w:ascii="Cambria Math" w:hAnsi="Cambria Math"/>
              </w:rPr>
              <m:t>e</m:t>
            </m:r>
          </m:e>
          <m:sup>
            <m:r>
              <w:rPr>
                <w:rFonts w:ascii="Cambria Math" w:hAnsi="Cambria Math"/>
              </w:rPr>
              <m:t>kx</m:t>
            </m:r>
          </m:sup>
        </m:sSup>
      </m:oMath>
      <w:r>
        <w:rPr>
          <w:rFonts w:eastAsia="宋体"/>
        </w:rPr>
        <w:t xml:space="preserve">, </w:t>
      </w:r>
      <w:r>
        <w:rPr>
          <w:rFonts w:eastAsia="宋体"/>
        </w:rPr>
        <w:t xml:space="preserve">με </w:t>
      </w:r>
      <m:oMath>
        <m:r>
          <w:rPr>
            <w:rFonts w:ascii="Cambria Math" w:hAnsi="Cambria Math"/>
          </w:rPr>
          <m:t>v</m:t>
        </m:r>
        <m:d>
          <m:dPr>
            <m:endChr m:val=")"/>
            <m:ctrlPr>
              <w:rPr>
                <w:rFonts w:ascii="Cambria Math" w:hAnsi="Cambria Math"/>
              </w:rPr>
            </m:ctrlPr>
          </m:dPr>
          <m:e>
            <m:r>
              <w:rPr>
                <w:rFonts w:ascii="Cambria Math" w:hAnsi="Cambria Math"/>
              </w:rPr>
              <m:t>x</m:t>
            </m:r>
          </m:e>
        </m:d>
      </m:oMath>
      <w:r>
        <w:rPr>
          <w:rFonts w:eastAsia="宋体"/>
        </w:rPr>
        <w:t xml:space="preserve"> </w:t>
      </w:r>
      <w:r>
        <w:rPr>
          <w:rFonts w:eastAsia="宋体"/>
        </w:rPr>
        <w:t xml:space="preserve">περιοδικό και </w:t>
      </w:r>
      <m:oMath>
        <m:r>
          <w:rPr>
            <w:rFonts w:ascii="Cambria Math" w:hAnsi="Cambria Math"/>
          </w:rPr>
          <m:t>k∈</m:t>
        </m:r>
        <m:r>
          <m:rPr>
            <m:sty m:val="p"/>
            <m:scr m:val="double-struck"/>
          </m:rPr>
          <w:rPr>
            <w:rFonts w:ascii="Cambria Math" w:hAnsi="Cambria Math"/>
          </w:rPr>
          <m:t>C</m:t>
        </m:r>
      </m:oMath>
      <w:r>
        <w:rPr>
          <w:rFonts w:eastAsia="宋体"/>
        </w:rPr>
        <w:t xml:space="preserve"> </w:t>
      </w:r>
      <w:r>
        <w:rPr>
          <w:rFonts w:eastAsia="宋体"/>
        </w:rPr>
        <w:t>βαθμωτό</w:t>
      </w:r>
      <w:r>
        <w:rPr>
          <w:rFonts w:eastAsia="宋体"/>
        </w:rPr>
        <w:t xml:space="preserve"> μέγεθος.</w:t>
      </w:r>
      <w:r>
        <w:rPr>
          <w:rFonts w:eastAsia="宋体"/>
        </w:rPr>
        <w:t>[8],[13]</w:t>
      </w:r>
    </w:p>
    <w:p>
      <w:pPr>
        <w:pStyle w:val="style0"/>
        <w:rPr>
          <w:rFonts w:eastAsia="宋体"/>
        </w:rPr>
      </w:pPr>
      <w:r>
        <w:rPr>
          <w:rFonts w:eastAsia="宋体"/>
        </w:rPr>
        <w:t xml:space="preserve">Αυτό το θεώρημα βρίσκει ευρεία χρήση σε φυσικά συστήματα με περιοδικές δυνατότητες. Η εφαρμογή του αυτή ονομάζεται θεώρημα </w:t>
      </w:r>
      <w:r>
        <w:rPr>
          <w:rFonts w:eastAsia="宋体"/>
          <w:lang w:val="en-US"/>
        </w:rPr>
        <w:t>Bloch</w:t>
      </w:r>
      <w:r>
        <w:rPr>
          <w:rFonts w:eastAsia="宋体"/>
        </w:rPr>
        <w:t xml:space="preserve"> και αναλύεται σε επόμενη παράγραφο.</w:t>
      </w:r>
    </w:p>
    <w:p>
      <w:pPr>
        <w:pStyle w:val="style0"/>
        <w:rPr>
          <w:rFonts w:ascii="Calibri Light" w:cs="宋体" w:eastAsia="宋体" w:hAnsi="Calibri Light"/>
          <w:color w:val="2f5496"/>
          <w:sz w:val="26"/>
          <w:szCs w:val="26"/>
        </w:rPr>
      </w:pPr>
    </w:p>
    <w:bookmarkStart w:id="24" w:name="_Toc77270431"/>
    <w:p>
      <w:pPr>
        <w:pStyle w:val="style2"/>
        <w:rPr/>
      </w:pPr>
      <w:r>
        <w:t xml:space="preserve">Θεώρημα </w:t>
      </w:r>
      <w:r>
        <w:rPr>
          <w:lang w:val="en-US"/>
        </w:rPr>
        <w:t>Bloch</w:t>
      </w:r>
      <w:bookmarkEnd w:id="24"/>
      <w:r>
        <w:t xml:space="preserve"> </w:t>
      </w:r>
    </w:p>
    <w:p>
      <w:pPr>
        <w:pStyle w:val="style0"/>
        <w:rPr/>
      </w:pPr>
    </w:p>
    <w:p>
      <w:pPr>
        <w:pStyle w:val="style0"/>
        <w:rPr>
          <w:rFonts w:eastAsia="宋体"/>
        </w:rPr>
      </w:pPr>
      <w:r>
        <w:t xml:space="preserve">Αρχικά, το θεώρημα του </w:t>
      </w:r>
      <w:r>
        <w:rPr>
          <w:lang w:val="en-US"/>
        </w:rPr>
        <w:t>Bloch</w:t>
      </w:r>
      <w:r>
        <w:t xml:space="preserve"> χρησιμοποιήθηκε για να μελετήσει την συμπεριφορά των ηλεκτρονίων σε ένα κρύσταλλο. Η συμπεριφορά της συνάρτησης κύματος </w:t>
      </w:r>
      <m:oMath>
        <m:sSub>
          <m:sSubPr>
            <m:ctrlPr>
              <w:rPr>
                <w:rFonts w:ascii="Cambria Math" w:hAnsi="Cambria Math"/>
              </w:rPr>
            </m:ctrlPr>
          </m:sSubPr>
          <m:e>
            <m:r>
              <w:rPr>
                <w:rFonts w:ascii="Cambria Math" w:hAnsi="Cambria Math"/>
              </w:rPr>
              <m:t>ψ</m:t>
            </m:r>
          </m:e>
          <m:sub>
            <m:r>
              <w:rPr>
                <w:rFonts w:ascii="Cambria Math" w:hAnsi="Cambria Math"/>
              </w:rPr>
              <m:t>k</m:t>
            </m:r>
          </m:sub>
        </m:sSub>
        <m:d>
          <m:dPr>
            <m:endChr m:val=")"/>
            <m:ctrlPr>
              <w:rPr>
                <w:rFonts w:ascii="Cambria Math" w:hAnsi="Cambria Math"/>
              </w:rPr>
            </m:ctrlPr>
          </m:dPr>
          <m:e>
            <m:r>
              <w:rPr>
                <w:rFonts w:ascii="Cambria Math" w:hAnsi="Cambria Math"/>
              </w:rPr>
              <m:t>r</m:t>
            </m:r>
          </m:e>
        </m:d>
      </m:oMath>
      <w:r>
        <w:rPr>
          <w:rFonts w:eastAsia="宋体"/>
        </w:rPr>
        <w:t xml:space="preserve"> με ενέργεια </w:t>
      </w:r>
      <m:oMath>
        <m:sSub>
          <m:sSubPr>
            <m:ctrlPr>
              <w:rPr>
                <w:rFonts w:ascii="Cambria Math" w:hAnsi="Cambria Math"/>
              </w:rPr>
            </m:ctrlPr>
          </m:sSubPr>
          <m:e>
            <m:r>
              <w:rPr>
                <w:rFonts w:ascii="Cambria Math" w:hAnsi="Cambria Math"/>
              </w:rPr>
              <m:t>E</m:t>
            </m:r>
          </m:e>
          <m:sub>
            <m:r>
              <w:rPr>
                <w:rFonts w:ascii="Cambria Math" w:hAnsi="Cambria Math"/>
              </w:rPr>
              <m:t>k</m:t>
            </m:r>
          </m:sub>
        </m:sSub>
      </m:oMath>
      <w:r>
        <w:rPr>
          <w:rFonts w:eastAsia="宋体"/>
        </w:rPr>
        <w:t xml:space="preserve"> ακολουθεί την εξίσωση του </w:t>
      </w:r>
      <w:r>
        <w:rPr>
          <w:rFonts w:eastAsia="宋体"/>
          <w:lang w:val="en-US"/>
        </w:rPr>
        <w:t>Schr</w:t>
      </w:r>
      <w:r>
        <w:rPr>
          <w:rFonts w:eastAsia="宋体"/>
        </w:rPr>
        <w:t>ö</w:t>
      </w:r>
      <w:r>
        <w:rPr>
          <w:rFonts w:eastAsia="宋体"/>
          <w:lang w:val="en-US"/>
        </w:rPr>
        <w:t>dinger</w:t>
      </w:r>
      <w:r>
        <w:rPr>
          <w:rFonts w:eastAsia="宋体"/>
        </w:rPr>
        <w:t>:</w:t>
      </w:r>
    </w:p>
    <w:p>
      <w:pPr>
        <w:pStyle w:val="style0"/>
        <w:jc w:val="center"/>
        <w:rPr>
          <w:rFonts w:eastAsia="宋体"/>
        </w:rPr>
      </w:pPr>
      <m:oMath>
        <m:d>
          <m:dPr>
            <m:begChr m:val="["/>
            <m:endChr m:val="]"/>
            <m:ctrlPr>
              <w:rPr>
                <w:rFonts w:ascii="Cambria Math" w:hAnsi="Cambria Math"/>
              </w:rPr>
            </m:ctrlPr>
          </m:dPr>
          <m:e>
            <m:r>
              <w:rPr>
                <w:rFonts w:ascii="Cambria Math" w:hAnsi="Cambria Math"/>
              </w:rPr>
              <m:t>-</m:t>
            </m:r>
            <m:f>
              <m:fPr>
                <m:ctrlPr>
                  <w:rPr>
                    <w:rFonts w:ascii="Cambria Math" w:hAnsi="Cambria Math"/>
                  </w:rPr>
                </m:ctrlPr>
              </m:fPr>
              <m:num>
                <m:r>
                  <w:rPr>
                    <w:rFonts w:ascii="Cambria Math" w:hAnsi="Cambria Math"/>
                  </w:rPr>
                  <m:t>h</m:t>
                </m:r>
              </m:num>
              <m:den>
                <m:r>
                  <w:rPr>
                    <w:rFonts w:ascii="Cambria Math" w:hAnsi="Cambria Math"/>
                  </w:rPr>
                  <m:t>2m</m:t>
                </m:r>
              </m:den>
            </m:f>
            <m:sSup>
              <m:sSupPr>
                <m:ctrlPr>
                  <w:rPr>
                    <w:rFonts w:ascii="Cambria Math" w:hAnsi="Cambria Math"/>
                  </w:rPr>
                </m:ctrlPr>
              </m:sSupPr>
              <m:e>
                <m:r>
                  <w:rPr>
                    <w:rFonts w:ascii="Cambria Math" w:hAnsi="Cambria Math"/>
                  </w:rPr>
                  <m:t>∇</m:t>
                </m:r>
              </m:e>
              <m:sup>
                <m:r>
                  <w:rPr>
                    <w:rFonts w:ascii="Cambria Math" w:hAnsi="Cambria Math"/>
                  </w:rPr>
                  <m:t>2</m:t>
                </m:r>
              </m:sup>
            </m:sSup>
            <m:r>
              <w:rPr>
                <w:rFonts w:ascii="Cambria Math" w:hAnsi="Cambria Math"/>
              </w:rPr>
              <m:t>+V</m:t>
            </m:r>
            <m:d>
              <m:dPr>
                <m:endChr m:val=")"/>
                <m:ctrlPr>
                  <w:rPr>
                    <w:rFonts w:ascii="Cambria Math" w:hAnsi="Cambria Math"/>
                  </w:rPr>
                </m:ctrlPr>
              </m:dPr>
              <m:e>
                <m:r>
                  <w:rPr>
                    <w:rFonts w:ascii="Cambria Math" w:hAnsi="Cambria Math"/>
                  </w:rPr>
                  <m:t>r</m:t>
                </m:r>
              </m:e>
            </m:d>
          </m:e>
        </m:d>
        <m:sSub>
          <m:sSubPr>
            <m:ctrlPr>
              <w:rPr>
                <w:rFonts w:ascii="Cambria Math" w:hAnsi="Cambria Math"/>
              </w:rPr>
            </m:ctrlPr>
          </m:sSubPr>
          <m:e>
            <m:r>
              <w:rPr>
                <w:rFonts w:ascii="Cambria Math" w:hAnsi="Cambria Math"/>
              </w:rPr>
              <m:t>ψ</m:t>
            </m:r>
          </m:e>
          <m:sub>
            <m:r>
              <w:rPr>
                <w:rFonts w:ascii="Cambria Math" w:hAnsi="Cambria Math"/>
              </w:rPr>
              <m:t>k</m:t>
            </m:r>
          </m:sub>
        </m:sSub>
        <m:d>
          <m:dPr>
            <m:endChr m:val=")"/>
            <m:ctrlPr>
              <w:rPr>
                <w:rFonts w:ascii="Cambria Math" w:hAnsi="Cambria Math"/>
              </w:rPr>
            </m:ctrlPr>
          </m:dPr>
          <m:e>
            <m:r>
              <w:rPr>
                <w:rFonts w:ascii="Cambria Math" w:hAnsi="Cambria Math"/>
              </w:rPr>
              <m:t>r</m:t>
            </m:r>
          </m:e>
        </m:d>
        <m: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k</m:t>
            </m:r>
          </m:sub>
        </m:sSub>
        <m:sSub>
          <m:sSubPr>
            <m:ctrlPr>
              <w:rPr>
                <w:rFonts w:ascii="Cambria Math" w:hAnsi="Cambria Math"/>
              </w:rPr>
            </m:ctrlPr>
          </m:sSubPr>
          <m:e>
            <m:r>
              <w:rPr>
                <w:rFonts w:ascii="Cambria Math" w:hAnsi="Cambria Math"/>
              </w:rPr>
              <m:t>ψ</m:t>
            </m:r>
          </m:e>
          <m:sub>
            <m:r>
              <w:rPr>
                <w:rFonts w:ascii="Cambria Math" w:hAnsi="Cambria Math"/>
              </w:rPr>
              <m:t>k</m:t>
            </m:r>
          </m:sub>
        </m:sSub>
        <m:d>
          <m:dPr>
            <m:endChr m:val=")"/>
            <m:ctrlPr>
              <w:rPr>
                <w:rFonts w:ascii="Cambria Math" w:hAnsi="Cambria Math"/>
              </w:rPr>
            </m:ctrlPr>
          </m:dPr>
          <m:e>
            <m:r>
              <w:rPr>
                <w:rFonts w:ascii="Cambria Math" w:hAnsi="Cambria Math"/>
              </w:rPr>
              <m:t>r</m:t>
            </m:r>
          </m:e>
        </m:d>
        <m:r>
          <w:rPr>
            <w:rFonts w:ascii="Cambria Math" w:hAnsi="Cambria Math"/>
          </w:rPr>
          <m:t>⇔H</m:t>
        </m:r>
        <m:d>
          <m:dPr>
            <m:endChr m:val=")"/>
            <m:ctrlPr>
              <w:rPr>
                <w:rFonts w:ascii="Cambria Math" w:hAnsi="Cambria Math"/>
              </w:rPr>
            </m:ctrlPr>
          </m:dPr>
          <m:e>
            <m:r>
              <w:rPr>
                <w:rFonts w:ascii="Cambria Math" w:hAnsi="Cambria Math"/>
              </w:rPr>
              <m:t>r</m:t>
            </m:r>
          </m:e>
        </m:d>
        <m:sSub>
          <m:sSubPr>
            <m:ctrlPr>
              <w:rPr>
                <w:rFonts w:ascii="Cambria Math" w:hAnsi="Cambria Math"/>
              </w:rPr>
            </m:ctrlPr>
          </m:sSubPr>
          <m:e>
            <m:r>
              <w:rPr>
                <w:rFonts w:ascii="Cambria Math" w:hAnsi="Cambria Math"/>
              </w:rPr>
              <m:t>ψ</m:t>
            </m:r>
          </m:e>
          <m:sub>
            <m:r>
              <w:rPr>
                <w:rFonts w:ascii="Cambria Math" w:hAnsi="Cambria Math"/>
              </w:rPr>
              <m:t>k</m:t>
            </m:r>
          </m:sub>
        </m:sSub>
        <m:d>
          <m:dPr>
            <m:endChr m:val=")"/>
            <m:ctrlPr>
              <w:rPr>
                <w:rFonts w:ascii="Cambria Math" w:hAnsi="Cambria Math"/>
              </w:rPr>
            </m:ctrlPr>
          </m:dPr>
          <m:e>
            <m:r>
              <w:rPr>
                <w:rFonts w:ascii="Cambria Math" w:hAnsi="Cambria Math"/>
              </w:rPr>
              <m:t>r</m:t>
            </m:r>
          </m:e>
        </m:d>
        <m: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k</m:t>
            </m:r>
          </m:sub>
        </m:sSub>
        <m:sSub>
          <m:sSubPr>
            <m:ctrlPr>
              <w:rPr>
                <w:rFonts w:ascii="Cambria Math" w:hAnsi="Cambria Math"/>
              </w:rPr>
            </m:ctrlPr>
          </m:sSubPr>
          <m:e>
            <m:r>
              <w:rPr>
                <w:rFonts w:ascii="Cambria Math" w:hAnsi="Cambria Math"/>
              </w:rPr>
              <m:t>ψ</m:t>
            </m:r>
          </m:e>
          <m:sub>
            <m:r>
              <w:rPr>
                <w:rFonts w:ascii="Cambria Math" w:hAnsi="Cambria Math"/>
              </w:rPr>
              <m:t>k</m:t>
            </m:r>
          </m:sub>
        </m:sSub>
        <m:d>
          <m:dPr>
            <m:endChr m:val=")"/>
            <m:ctrlPr>
              <w:rPr>
                <w:rFonts w:ascii="Cambria Math" w:hAnsi="Cambria Math"/>
              </w:rPr>
            </m:ctrlPr>
          </m:dPr>
          <m:e>
            <m:r>
              <w:rPr>
                <w:rFonts w:ascii="Cambria Math" w:hAnsi="Cambria Math"/>
              </w:rPr>
              <m:t>r</m:t>
            </m:r>
          </m:e>
        </m:d>
      </m:oMath>
      <w:r>
        <w:rPr>
          <w:rFonts w:eastAsia="宋体"/>
        </w:rPr>
        <w:tab/>
      </w:r>
      <w:r>
        <w:rPr>
          <w:rFonts w:eastAsia="宋体"/>
        </w:rPr>
        <w:t>(</w:t>
      </w:r>
      <w:r>
        <w:rPr>
          <w:rFonts w:eastAsia="宋体"/>
        </w:rPr>
        <w:t>6</w:t>
      </w:r>
      <w:r>
        <w:rPr>
          <w:rFonts w:eastAsia="宋体"/>
        </w:rPr>
        <w:t>)</w:t>
      </w:r>
    </w:p>
    <w:p>
      <w:pPr>
        <w:pStyle w:val="style0"/>
        <w:rPr>
          <w:rFonts w:eastAsia="宋体"/>
        </w:rPr>
      </w:pPr>
      <w:r>
        <w:rPr>
          <w:rFonts w:eastAsia="宋体"/>
        </w:rPr>
        <w:t xml:space="preserve">Όπου </w:t>
      </w:r>
      <w:r>
        <w:rPr>
          <w:rFonts w:eastAsia="宋体"/>
          <w:lang w:val="en-US"/>
        </w:rPr>
        <w:t>m</w:t>
      </w:r>
      <w:r>
        <w:rPr>
          <w:rFonts w:eastAsia="宋体"/>
        </w:rPr>
        <w:t xml:space="preserve"> </w:t>
      </w:r>
      <w:r>
        <w:rPr>
          <w:rFonts w:eastAsia="宋体"/>
        </w:rPr>
        <w:t xml:space="preserve">είναι η μάζα του ηλεκτρονίου και </w:t>
      </w:r>
      <w:r>
        <w:rPr>
          <w:rFonts w:eastAsia="宋体"/>
          <w:lang w:val="en-US"/>
        </w:rPr>
        <w:t>h</w:t>
      </w:r>
      <w:r>
        <w:rPr>
          <w:rFonts w:eastAsia="宋体"/>
        </w:rPr>
        <w:t xml:space="preserve"> η σταθερά του </w:t>
      </w:r>
      <w:r>
        <w:rPr>
          <w:rFonts w:eastAsia="宋体"/>
          <w:lang w:val="en-US"/>
        </w:rPr>
        <w:t>Planck</w:t>
      </w:r>
      <w:r>
        <w:rPr>
          <w:rFonts w:eastAsia="宋体"/>
        </w:rPr>
        <w:t>.</w:t>
      </w:r>
    </w:p>
    <w:p>
      <w:pPr>
        <w:pStyle w:val="style0"/>
        <w:rPr>
          <w:rFonts w:eastAsia="宋体"/>
        </w:rPr>
      </w:pPr>
      <w:r>
        <w:rPr>
          <w:rFonts w:eastAsia="宋体"/>
        </w:rPr>
        <w:t xml:space="preserve">Για </w:t>
      </w:r>
      <w:r>
        <w:rPr>
          <w:rFonts w:eastAsia="宋体"/>
        </w:rPr>
        <w:t>τα</w:t>
      </w:r>
      <w:r>
        <w:rPr>
          <w:rFonts w:eastAsia="宋体"/>
        </w:rPr>
        <w:t xml:space="preserve"> ηλεκτρόνια, η πιθανή ενέργεια από τους πυρήνες και τα ηλεκτρόνια είναι περιοδική μέσα στον κρύσταλλο: </w:t>
      </w:r>
      <m:oMath>
        <m:r>
          <w:rPr>
            <w:rFonts w:ascii="Cambria Math" w:hAnsi="Cambria Math"/>
          </w:rPr>
          <m:t>V</m:t>
        </m:r>
        <m:d>
          <m:dPr>
            <m:endChr m:val=")"/>
            <m:ctrlPr>
              <w:rPr>
                <w:rFonts w:ascii="Cambria Math" w:hAnsi="Cambria Math"/>
              </w:rPr>
            </m:ctrlPr>
          </m:dPr>
          <m:e>
            <m:r>
              <w:rPr>
                <w:rFonts w:ascii="Cambria Math" w:hAnsi="Cambria Math"/>
              </w:rPr>
              <m:t>r</m:t>
            </m:r>
          </m:e>
        </m:d>
        <m:r>
          <w:rPr>
            <w:rFonts w:ascii="Cambria Math" w:hAnsi="Cambria Math"/>
          </w:rPr>
          <m:t>=V</m:t>
        </m:r>
        <m:d>
          <m:dPr>
            <m:endChr m:val=")"/>
            <m:ctrlPr>
              <w:rPr>
                <w:rFonts w:ascii="Cambria Math" w:hAnsi="Cambria Math"/>
              </w:rPr>
            </m:ctrlPr>
          </m:dPr>
          <m:e>
            <m:r>
              <w:rPr>
                <w:rFonts w:ascii="Cambria Math" w:hAnsi="Cambria Math"/>
              </w:rPr>
              <m:t>r+p</m:t>
            </m:r>
          </m:e>
        </m:d>
      </m:oMath>
      <w:r>
        <w:rPr>
          <w:rFonts w:eastAsia="宋体"/>
        </w:rPr>
        <w:t xml:space="preserve"> , </w:t>
      </w:r>
      <w:r>
        <w:rPr>
          <w:rFonts w:eastAsia="宋体"/>
        </w:rPr>
        <w:t xml:space="preserve">όπου </w:t>
      </w:r>
      <w:r>
        <w:rPr>
          <w:rFonts w:eastAsia="宋体"/>
          <w:lang w:val="en-US"/>
        </w:rPr>
        <w:t>p</w:t>
      </w:r>
      <w:r>
        <w:rPr>
          <w:rFonts w:eastAsia="宋体"/>
        </w:rPr>
        <w:t xml:space="preserve"> είναι το διάνυσμα πλέγματος. Στην εξίσωση</w:t>
      </w:r>
      <w:r>
        <w:rPr>
          <w:rFonts w:eastAsia="宋体"/>
        </w:rPr>
        <w:t xml:space="preserve"> (1)</w:t>
      </w:r>
      <w:r>
        <w:rPr>
          <w:rFonts w:eastAsia="宋体"/>
        </w:rPr>
        <w:t xml:space="preserve"> το </w:t>
      </w:r>
      <w:r>
        <w:rPr>
          <w:rFonts w:eastAsia="宋体"/>
          <w:lang w:val="en-US"/>
        </w:rPr>
        <w:t>H</w:t>
      </w:r>
      <w:r>
        <w:rPr>
          <w:rFonts w:eastAsia="宋体"/>
        </w:rPr>
        <w:t>(</w:t>
      </w:r>
      <w:r>
        <w:rPr>
          <w:rFonts w:eastAsia="宋体"/>
          <w:lang w:val="en-US"/>
        </w:rPr>
        <w:t>r</w:t>
      </w:r>
      <w:r>
        <w:rPr>
          <w:rFonts w:eastAsia="宋体"/>
        </w:rPr>
        <w:t>)</w:t>
      </w:r>
      <w:r>
        <w:rPr>
          <w:rFonts w:eastAsia="宋体"/>
        </w:rPr>
        <w:t xml:space="preserve"> είναι ο τελεστής </w:t>
      </w:r>
      <w:r>
        <w:rPr>
          <w:rFonts w:eastAsia="宋体"/>
          <w:lang w:val="en-US"/>
        </w:rPr>
        <w:t>Hamilton</w:t>
      </w:r>
      <w:r>
        <w:rPr>
          <w:rFonts w:eastAsia="宋体"/>
        </w:rPr>
        <w:t xml:space="preserve">, </w:t>
      </w:r>
      <w:r>
        <w:rPr>
          <w:rFonts w:eastAsia="宋体"/>
        </w:rPr>
        <w:t>οπότε αντίστοιχα</w:t>
      </w:r>
      <w:r>
        <w:rPr>
          <w:rFonts w:eastAsia="宋体"/>
        </w:rPr>
        <w:t>:</w:t>
      </w:r>
    </w:p>
    <w:p>
      <w:pPr>
        <w:pStyle w:val="style0"/>
        <w:jc w:val="center"/>
        <w:rPr>
          <w:rFonts w:eastAsia="宋体"/>
        </w:rPr>
      </w:pPr>
      <m:oMath>
        <m:r>
          <w:rPr>
            <w:rFonts w:ascii="Cambria Math" w:hAnsi="Cambria Math"/>
          </w:rPr>
          <m:t>H</m:t>
        </m:r>
        <m:d>
          <m:dPr>
            <m:endChr m:val=")"/>
            <m:ctrlPr>
              <w:rPr>
                <w:rFonts w:ascii="Cambria Math" w:hAnsi="Cambria Math"/>
              </w:rPr>
            </m:ctrlPr>
          </m:dPr>
          <m:e>
            <m:r>
              <w:rPr>
                <w:rFonts w:ascii="Cambria Math" w:hAnsi="Cambria Math"/>
              </w:rPr>
              <m:t>r</m:t>
            </m:r>
          </m:e>
        </m:d>
        <m:r>
          <w:rPr>
            <w:rFonts w:ascii="Cambria Math" w:hAnsi="Cambria Math"/>
          </w:rPr>
          <m:t>=H</m:t>
        </m:r>
        <m:d>
          <m:dPr>
            <m:endChr m:val=")"/>
            <m:ctrlPr>
              <w:rPr>
                <w:rFonts w:ascii="Cambria Math" w:hAnsi="Cambria Math"/>
              </w:rPr>
            </m:ctrlPr>
          </m:dPr>
          <m:e>
            <m:r>
              <w:rPr>
                <w:rFonts w:ascii="Cambria Math" w:hAnsi="Cambria Math"/>
              </w:rPr>
              <m:t>r+p</m:t>
            </m:r>
          </m:e>
        </m:d>
      </m:oMath>
      <w:r>
        <w:rPr>
          <w:rFonts w:eastAsia="宋体"/>
        </w:rPr>
        <w:tab/>
      </w:r>
      <w:r>
        <w:rPr>
          <w:rFonts w:eastAsia="宋体"/>
        </w:rPr>
        <w:t>(</w:t>
      </w:r>
      <w:r>
        <w:rPr>
          <w:rFonts w:eastAsia="宋体"/>
        </w:rPr>
        <w:t>7</w:t>
      </w:r>
      <w:r>
        <w:rPr>
          <w:rFonts w:eastAsia="宋体"/>
        </w:rPr>
        <w:t>)</w:t>
      </w:r>
    </w:p>
    <w:p>
      <w:pPr>
        <w:pStyle w:val="style0"/>
        <w:rPr>
          <w:rFonts w:eastAsia="宋体"/>
        </w:rPr>
      </w:pPr>
      <w:r>
        <w:rPr>
          <w:rFonts w:eastAsia="宋体"/>
        </w:rPr>
        <w:t>Είναι γνωστό ότι η λύση του προβλήματος ιδιοτιμών της εξίσωσης (</w:t>
      </w:r>
      <w:r>
        <w:rPr>
          <w:rFonts w:eastAsia="宋体"/>
        </w:rPr>
        <w:t>7</w:t>
      </w:r>
      <w:r>
        <w:rPr>
          <w:rFonts w:eastAsia="宋体"/>
        </w:rPr>
        <w:t>) παίρνει την μορφή:</w:t>
      </w:r>
    </w:p>
    <w:p>
      <w:pPr>
        <w:pStyle w:val="style0"/>
        <w:jc w:val="center"/>
        <w:rPr>
          <w:rFonts w:eastAsia="宋体"/>
        </w:rPr>
      </w:pPr>
      <m:oMath>
        <m:sSub>
          <m:sSubPr>
            <m:ctrlPr>
              <w:rPr>
                <w:rFonts w:ascii="Cambria Math" w:hAnsi="Cambria Math"/>
              </w:rPr>
            </m:ctrlPr>
          </m:sSubPr>
          <m:e>
            <m:r>
              <w:rPr>
                <w:rFonts w:ascii="Cambria Math" w:hAnsi="Cambria Math"/>
              </w:rPr>
              <m:t>ψ</m:t>
            </m:r>
          </m:e>
          <m:sub>
            <m:r>
              <w:rPr>
                <w:rFonts w:ascii="Cambria Math" w:hAnsi="Cambria Math"/>
              </w:rPr>
              <m:t>k</m:t>
            </m:r>
          </m:sub>
        </m:sSub>
        <m:d>
          <m:dPr>
            <m:endChr m:val=")"/>
            <m:ctrlPr>
              <w:rPr>
                <w:rFonts w:ascii="Cambria Math" w:hAnsi="Cambria Math"/>
              </w:rPr>
            </m:ctrlPr>
          </m:dPr>
          <m:e>
            <m:r>
              <w:rPr>
                <w:rFonts w:ascii="Cambria Math" w:hAnsi="Cambria Math"/>
              </w:rPr>
              <m:t>r+p</m:t>
            </m:r>
          </m:e>
        </m:d>
        <m:r>
          <w:rPr>
            <w:rFonts w:ascii="Cambria Math" w:hAnsi="Cambria Math"/>
          </w:rPr>
          <m:t>=</m:t>
        </m:r>
        <m:sSup>
          <m:sSupPr>
            <m:ctrlPr>
              <w:rPr>
                <w:rFonts w:ascii="Cambria Math" w:hAnsi="Cambria Math"/>
              </w:rPr>
            </m:ctrlPr>
          </m:sSupPr>
          <m:e>
            <m:r>
              <w:rPr>
                <w:rFonts w:ascii="Cambria Math" w:hAnsi="Cambria Math"/>
              </w:rPr>
              <m:t>e</m:t>
            </m:r>
          </m:e>
          <m:sup>
            <m:d>
              <m:dPr>
                <m:endChr m:val=")"/>
                <m:ctrlPr>
                  <w:rPr>
                    <w:rFonts w:ascii="Cambria Math" w:hAnsi="Cambria Math"/>
                  </w:rPr>
                </m:ctrlPr>
              </m:dPr>
              <m:e>
                <m:r>
                  <w:rPr>
                    <w:rFonts w:ascii="Cambria Math" w:hAnsi="Cambria Math"/>
                  </w:rPr>
                  <m:t>i</m:t>
                </m:r>
                <m:sSub>
                  <m:sSubPr>
                    <m:ctrlPr>
                      <w:rPr>
                        <w:rFonts w:ascii="Cambria Math" w:hAnsi="Cambria Math"/>
                      </w:rPr>
                    </m:ctrlPr>
                  </m:sSubPr>
                  <m:e>
                    <m:r>
                      <w:rPr>
                        <w:rFonts w:ascii="Cambria Math" w:hAnsi="Cambria Math"/>
                      </w:rPr>
                      <m:t>k</m:t>
                    </m:r>
                  </m:e>
                  <m:sub>
                    <m:r>
                      <w:rPr>
                        <w:rFonts w:ascii="Cambria Math" w:hAnsi="Cambria Math"/>
                      </w:rPr>
                      <m:t>e</m:t>
                    </m:r>
                  </m:sub>
                </m:sSub>
                <m:r>
                  <w:rPr>
                    <w:rFonts w:ascii="Cambria Math" w:hAnsi="Cambria Math"/>
                  </w:rPr>
                  <m:t>,r</m:t>
                </m:r>
              </m:e>
            </m:d>
          </m:sup>
        </m:sSup>
        <m:sSub>
          <m:sSubPr>
            <m:ctrlPr>
              <w:rPr>
                <w:rFonts w:ascii="Cambria Math" w:hAnsi="Cambria Math"/>
              </w:rPr>
            </m:ctrlPr>
          </m:sSubPr>
          <m:e>
            <m:r>
              <w:rPr>
                <w:rFonts w:ascii="Cambria Math" w:hAnsi="Cambria Math"/>
              </w:rPr>
              <m:t>ψ</m:t>
            </m:r>
          </m:e>
          <m:sub>
            <m:r>
              <w:rPr>
                <w:rFonts w:ascii="Cambria Math" w:hAnsi="Cambria Math"/>
              </w:rPr>
              <m:t>k</m:t>
            </m:r>
          </m:sub>
        </m:sSub>
        <m:d>
          <m:dPr>
            <m:endChr m:val=")"/>
            <m:ctrlPr>
              <w:rPr>
                <w:rFonts w:ascii="Cambria Math" w:hAnsi="Cambria Math"/>
              </w:rPr>
            </m:ctrlPr>
          </m:dPr>
          <m:e>
            <m:r>
              <w:rPr>
                <w:rFonts w:ascii="Cambria Math" w:hAnsi="Cambria Math"/>
              </w:rPr>
              <m:t>r</m:t>
            </m:r>
          </m:e>
        </m:d>
      </m:oMath>
      <w:r>
        <w:rPr>
          <w:rFonts w:eastAsia="宋体"/>
        </w:rPr>
        <w:tab/>
      </w:r>
      <w:r>
        <w:rPr>
          <w:rFonts w:eastAsia="宋体"/>
        </w:rPr>
        <w:t>(</w:t>
      </w:r>
      <w:r>
        <w:rPr>
          <w:rFonts w:eastAsia="宋体"/>
        </w:rPr>
        <w:t>8</w:t>
      </w:r>
      <w:r>
        <w:rPr>
          <w:rFonts w:eastAsia="宋体"/>
        </w:rPr>
        <w:t>)</w:t>
      </w:r>
    </w:p>
    <w:p>
      <w:pPr>
        <w:pStyle w:val="style0"/>
        <w:rPr>
          <w:rFonts w:eastAsia="宋体"/>
        </w:rPr>
      </w:pPr>
      <w:r>
        <w:rPr>
          <w:rFonts w:eastAsia="宋体"/>
        </w:rPr>
        <w:t xml:space="preserve">Όπου </w:t>
      </w:r>
      <w:r>
        <w:rPr>
          <w:rFonts w:eastAsia="宋体"/>
          <w:lang w:val="en-US"/>
        </w:rPr>
        <w:t>k</w:t>
      </w:r>
      <w:r>
        <w:rPr>
          <w:rFonts w:eastAsia="宋体"/>
          <w:vertAlign w:val="subscript"/>
          <w:lang w:val="en-US"/>
        </w:rPr>
        <w:t>e</w:t>
      </w:r>
      <w:r>
        <w:rPr>
          <w:rFonts w:eastAsia="宋体"/>
        </w:rPr>
        <w:t xml:space="preserve"> </w:t>
      </w:r>
      <w:r>
        <w:rPr>
          <w:rFonts w:eastAsia="宋体"/>
        </w:rPr>
        <w:t>είναι το διάνυσμα κύματος</w:t>
      </w:r>
      <w:r>
        <w:rPr>
          <w:rFonts w:eastAsia="宋体"/>
        </w:rPr>
        <w:t xml:space="preserve"> του ηλεκτρονίου.</w:t>
      </w:r>
    </w:p>
    <w:p>
      <w:pPr>
        <w:pStyle w:val="style0"/>
        <w:rPr>
          <w:rFonts w:eastAsia="宋体"/>
        </w:rPr>
      </w:pPr>
      <w:r>
        <w:rPr>
          <w:rFonts w:eastAsia="宋体"/>
        </w:rPr>
        <w:t xml:space="preserve">Συνεχίζοντας, η πιθανότητα να βρεθεί το ηλεκτρόνιο στο </w:t>
      </w:r>
      <w:r>
        <w:rPr>
          <w:rFonts w:eastAsia="宋体"/>
          <w:lang w:val="en-US"/>
        </w:rPr>
        <w:t>r</w:t>
      </w:r>
      <w:r>
        <w:rPr>
          <w:rFonts w:eastAsia="宋体"/>
        </w:rPr>
        <w:t xml:space="preserve"> </w:t>
      </w:r>
      <w:r>
        <w:rPr>
          <w:rFonts w:eastAsia="宋体"/>
        </w:rPr>
        <w:t xml:space="preserve">και στο </w:t>
      </w:r>
      <w:r>
        <w:rPr>
          <w:rFonts w:eastAsia="宋体"/>
          <w:lang w:val="en-US"/>
        </w:rPr>
        <w:t>r</w:t>
      </w:r>
      <w:r>
        <w:rPr>
          <w:rFonts w:eastAsia="宋体"/>
        </w:rPr>
        <w:t>+</w:t>
      </w:r>
      <w:r>
        <w:rPr>
          <w:rFonts w:eastAsia="宋体"/>
          <w:lang w:val="en-US"/>
        </w:rPr>
        <w:t>p</w:t>
      </w:r>
      <w:r>
        <w:rPr>
          <w:rFonts w:eastAsia="宋体"/>
        </w:rPr>
        <w:t xml:space="preserve"> είναι η ίδια, λόγω της περιοδικότητας του κρυστάλλου:</w:t>
      </w:r>
    </w:p>
    <w:p>
      <w:pPr>
        <w:pStyle w:val="style0"/>
        <w:jc w:val="center"/>
        <w:rPr>
          <w:rFonts w:eastAsia="宋体"/>
        </w:rPr>
      </w:pPr>
      <m:oMath>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ψ</m:t>
                    </m:r>
                  </m:e>
                  <m:sub>
                    <m:r>
                      <w:rPr>
                        <w:rFonts w:ascii="Cambria Math" w:hAnsi="Cambria Math"/>
                      </w:rPr>
                      <m:t>k</m:t>
                    </m:r>
                  </m:sub>
                </m:sSub>
                <m:r>
                  <w:rPr>
                    <w:rFonts w:ascii="Cambria Math" w:hAnsi="Cambria Math"/>
                  </w:rPr>
                  <m:t>(r+p)</m:t>
                </m:r>
              </m:e>
            </m:d>
          </m:e>
          <m:sup>
            <m:r>
              <w:rPr>
                <w:rFonts w:ascii="Cambria Math" w:hAnsi="Cambria Math"/>
              </w:rPr>
              <m:t>2</m:t>
            </m:r>
          </m:sup>
        </m:sSup>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ψ</m:t>
                    </m:r>
                  </m:e>
                  <m:sub>
                    <m:r>
                      <w:rPr>
                        <w:rFonts w:ascii="Cambria Math" w:hAnsi="Cambria Math"/>
                      </w:rPr>
                      <m:t>k</m:t>
                    </m:r>
                  </m:sub>
                </m:sSub>
                <m:r>
                  <w:rPr>
                    <w:rFonts w:ascii="Cambria Math" w:hAnsi="Cambria Math"/>
                  </w:rPr>
                  <m:t>(r)</m:t>
                </m:r>
              </m:e>
            </m:d>
          </m:e>
          <m:sup>
            <m:r>
              <w:rPr>
                <w:rFonts w:ascii="Cambria Math" w:hAnsi="Cambria Math"/>
              </w:rPr>
              <m:t>2</m:t>
            </m:r>
          </m:sup>
        </m:sSup>
      </m:oMath>
      <w:r>
        <w:rPr>
          <w:rFonts w:eastAsia="宋体"/>
        </w:rPr>
        <w:tab/>
      </w:r>
      <w:r>
        <w:rPr>
          <w:rFonts w:eastAsia="宋体"/>
        </w:rPr>
        <w:t>(</w:t>
      </w:r>
      <w:r>
        <w:rPr>
          <w:rFonts w:eastAsia="宋体"/>
        </w:rPr>
        <w:t>9</w:t>
      </w:r>
      <w:r>
        <w:rPr>
          <w:rFonts w:eastAsia="宋体"/>
        </w:rPr>
        <w:t>)</w:t>
      </w:r>
    </w:p>
    <w:p>
      <w:pPr>
        <w:pStyle w:val="style0"/>
        <w:rPr>
          <w:rFonts w:eastAsia="宋体"/>
        </w:rPr>
      </w:pPr>
      <w:r>
        <w:rPr>
          <w:rFonts w:eastAsia="宋体"/>
        </w:rPr>
        <w:t>Κάνοντας αντικατάσταση της (</w:t>
      </w:r>
      <w:r>
        <w:rPr>
          <w:rFonts w:eastAsia="宋体"/>
        </w:rPr>
        <w:t>8</w:t>
      </w:r>
      <w:r>
        <w:rPr>
          <w:rFonts w:eastAsia="宋体"/>
        </w:rPr>
        <w:t>) στην (</w:t>
      </w:r>
      <w:r>
        <w:rPr>
          <w:rFonts w:eastAsia="宋体"/>
        </w:rPr>
        <w:t>9</w:t>
      </w:r>
      <w:r>
        <w:rPr>
          <w:rFonts w:eastAsia="宋体"/>
        </w:rPr>
        <w:t xml:space="preserve">) βρίσκεται </w:t>
      </w:r>
      <m:oMath>
        <m:d>
          <m:dPr>
            <m:begChr m:val="|"/>
            <m:endChr m:val="|"/>
            <m:ctrlPr>
              <w:rPr>
                <w:rFonts w:ascii="Cambria Math" w:hAnsi="Cambria Math"/>
              </w:rPr>
            </m:ctrlPr>
          </m:dPr>
          <m:e>
            <m:sSup>
              <m:sSupPr>
                <m:ctrlPr>
                  <w:rPr>
                    <w:rFonts w:ascii="Cambria Math" w:hAnsi="Cambria Math"/>
                  </w:rPr>
                </m:ctrlPr>
              </m:sSupPr>
              <m:e>
                <m:r>
                  <w:rPr>
                    <w:rFonts w:ascii="Cambria Math" w:hAnsi="Cambria Math"/>
                  </w:rPr>
                  <m:t>e</m:t>
                </m:r>
              </m:e>
              <m:sup>
                <m:d>
                  <m:dPr>
                    <m:endChr m:val=")"/>
                    <m:ctrlPr>
                      <w:rPr>
                        <w:rFonts w:ascii="Cambria Math" w:hAnsi="Cambria Math"/>
                      </w:rPr>
                    </m:ctrlPr>
                  </m:dPr>
                  <m:e>
                    <m:r>
                      <w:rPr>
                        <w:rFonts w:ascii="Cambria Math" w:hAnsi="Cambria Math"/>
                      </w:rPr>
                      <m:t>i</m:t>
                    </m:r>
                    <m:sSub>
                      <m:sSubPr>
                        <m:ctrlPr>
                          <w:rPr>
                            <w:rFonts w:ascii="Cambria Math" w:hAnsi="Cambria Math"/>
                          </w:rPr>
                        </m:ctrlPr>
                      </m:sSubPr>
                      <m:e>
                        <m:r>
                          <w:rPr>
                            <w:rFonts w:ascii="Cambria Math" w:hAnsi="Cambria Math"/>
                          </w:rPr>
                          <m:t>k</m:t>
                        </m:r>
                      </m:e>
                      <m:sub>
                        <m:r>
                          <w:rPr>
                            <w:rFonts w:ascii="Cambria Math" w:hAnsi="Cambria Math"/>
                          </w:rPr>
                          <m:t>e</m:t>
                        </m:r>
                      </m:sub>
                    </m:sSub>
                    <m:r>
                      <w:rPr>
                        <w:rFonts w:ascii="Cambria Math" w:hAnsi="Cambria Math"/>
                      </w:rPr>
                      <m:t>,r</m:t>
                    </m:r>
                  </m:e>
                </m:d>
              </m:sup>
            </m:sSup>
          </m:e>
        </m:d>
        <m:r>
          <w:rPr>
            <w:rFonts w:ascii="Cambria Math" w:hAnsi="Cambria Math"/>
          </w:rPr>
          <m:t>=1</m:t>
        </m:r>
      </m:oMath>
      <w:r>
        <w:rPr>
          <w:rFonts w:eastAsia="宋体"/>
        </w:rPr>
        <w:t xml:space="preserve">, </w:t>
      </w:r>
      <w:r>
        <w:rPr>
          <w:rFonts w:eastAsia="宋体"/>
        </w:rPr>
        <w:t xml:space="preserve">οπότε </w:t>
      </w:r>
      <m:oMath>
        <m:d>
          <m:dPr>
            <m:endChr m:val=")"/>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e</m:t>
                </m:r>
              </m:sub>
            </m:sSub>
            <m:r>
              <w:rPr>
                <w:rFonts w:ascii="Cambria Math" w:hAnsi="Cambria Math"/>
              </w:rPr>
              <m:t>,p</m:t>
            </m:r>
          </m:e>
        </m:d>
      </m:oMath>
      <w:r>
        <w:rPr>
          <w:rFonts w:eastAsia="宋体"/>
        </w:rPr>
        <w:t xml:space="preserve"> είναι πραγματικός αριθμός.</w:t>
      </w:r>
    </w:p>
    <w:p>
      <w:pPr>
        <w:pStyle w:val="style0"/>
        <w:rPr>
          <w:rFonts w:eastAsia="宋体"/>
        </w:rPr>
      </w:pPr>
      <w:r>
        <w:rPr>
          <w:rFonts w:eastAsia="宋体"/>
        </w:rPr>
        <w:t xml:space="preserve">Κάθε πλεγματική δομή σε τρισδιάστατο χώρο, μπορεί να κατασκευαστεί κάνοντας χρήση μιας επαναλαμβανόμενης μονάδας κελιού κατά μήκος τριών γραμμικά ανεξαρτήτων </w:t>
      </w:r>
      <w:r>
        <w:rPr>
          <w:rFonts w:eastAsia="宋体"/>
        </w:rPr>
        <w:t>διανυσμάτων πλέγματος.</w:t>
      </w:r>
      <w:r>
        <w:rPr>
          <w:rFonts w:eastAsia="宋体"/>
        </w:rPr>
        <w:t xml:space="preserve"> </w:t>
      </w:r>
      <w:r>
        <w:rPr>
          <w:rFonts w:eastAsia="宋体"/>
        </w:rPr>
        <w:t xml:space="preserve">Χρησιμοποιώντας </w:t>
      </w:r>
      <w:r>
        <w:rPr>
          <w:rFonts w:eastAsia="宋体"/>
        </w:rPr>
        <w:t>Νευτώνια</w:t>
      </w:r>
      <w:r>
        <w:rPr>
          <w:rFonts w:eastAsia="宋体"/>
        </w:rPr>
        <w:t xml:space="preserve"> δυναμική, οι εξισώσεις κίνησης της μονάδας κελιού έχουν την ακόλουθη δομή:</w:t>
      </w:r>
    </w:p>
    <w:p>
      <w:pPr>
        <w:pStyle w:val="style0"/>
        <w:jc w:val="center"/>
        <w:rPr>
          <w:rFonts w:eastAsia="宋体"/>
        </w:rPr>
      </w:pPr>
      <m:oMath>
        <m:r>
          <w:rPr>
            <w:rFonts w:ascii="Cambria Math" w:hAnsi="Cambria Math"/>
          </w:rPr>
          <m:t>M</m:t>
        </m:r>
        <m:limUpp>
          <m:limUppPr>
            <m:ctrlPr>
              <w:rPr>
                <w:rFonts w:ascii="Cambria Math" w:hAnsi="Cambria Math"/>
              </w:rPr>
            </m:ctrlPr>
          </m:limUppPr>
          <m:e>
            <m:r>
              <w:rPr>
                <w:rFonts w:ascii="Cambria Math" w:hAnsi="Cambria Math"/>
              </w:rPr>
              <m:t>q</m:t>
            </m:r>
          </m:e>
          <m:lim>
            <m:r>
              <w:rPr>
                <w:rFonts w:ascii="Cambria Math" w:hAnsi="Cambria Math"/>
              </w:rPr>
              <m:t>¨</m:t>
            </m:r>
          </m:lim>
        </m:limUpp>
        <m:r>
          <w:rPr>
            <w:rFonts w:ascii="Cambria Math" w:hAnsi="Cambria Math"/>
          </w:rPr>
          <m:t>+Kq=F</m:t>
        </m:r>
      </m:oMath>
      <w:r>
        <w:rPr>
          <w:rFonts w:eastAsia="宋体"/>
        </w:rPr>
        <w:tab/>
      </w:r>
      <w:r>
        <w:rPr>
          <w:rFonts w:eastAsia="宋体"/>
        </w:rPr>
        <w:t>(</w:t>
      </w:r>
      <w:r>
        <w:rPr>
          <w:rFonts w:eastAsia="宋体"/>
        </w:rPr>
        <w:t>10</w:t>
      </w:r>
      <w:r>
        <w:rPr>
          <w:rFonts w:eastAsia="宋体"/>
        </w:rPr>
        <w:t>)</w:t>
      </w:r>
    </w:p>
    <w:p>
      <w:pPr>
        <w:pStyle w:val="style0"/>
        <w:rPr>
          <w:rFonts w:eastAsia="宋体"/>
        </w:rPr>
      </w:pPr>
      <w:r>
        <w:rPr>
          <w:rFonts w:eastAsia="宋体"/>
        </w:rPr>
        <w:t xml:space="preserve">Όπου τα μητρώα Μ και Κ παρουσιάζουν την μάζα και την ακαμψία του συστήματος και τα </w:t>
      </w:r>
      <m:oMath>
        <m:r>
          <w:rPr>
            <w:rFonts w:ascii="Cambria Math" w:hAnsi="Cambria Math"/>
          </w:rPr>
          <m:t>q</m:t>
        </m:r>
      </m:oMath>
      <w:r>
        <w:rPr>
          <w:rFonts w:eastAsia="宋体"/>
        </w:rPr>
        <w:t xml:space="preserve">, </w:t>
      </w:r>
      <m:oMath>
        <m:limUpp>
          <m:limUppPr>
            <m:ctrlPr>
              <w:rPr>
                <w:rFonts w:ascii="Cambria Math" w:hAnsi="Cambria Math"/>
              </w:rPr>
            </m:ctrlPr>
          </m:limUppPr>
          <m:e>
            <m:r>
              <w:rPr>
                <w:rFonts w:ascii="Cambria Math" w:hAnsi="Cambria Math"/>
              </w:rPr>
              <m:t>q</m:t>
            </m:r>
          </m:e>
          <m:lim>
            <m:r>
              <w:rPr>
                <w:rFonts w:ascii="Cambria Math" w:hAnsi="Cambria Math"/>
              </w:rPr>
              <m:t>¨</m:t>
            </m:r>
          </m:lim>
        </m:limUpp>
      </m:oMath>
      <w:r>
        <w:rPr>
          <w:rFonts w:eastAsia="宋体"/>
        </w:rPr>
        <w:t xml:space="preserve"> παρουσιάζουν την εκτόπιση, επιτάχυνση και το </w:t>
      </w:r>
      <w:r>
        <w:rPr>
          <w:rFonts w:eastAsia="宋体"/>
          <w:lang w:val="en-US"/>
        </w:rPr>
        <w:t>F</w:t>
      </w:r>
      <w:r>
        <w:rPr>
          <w:rFonts w:eastAsia="宋体"/>
        </w:rPr>
        <w:t xml:space="preserve"> </w:t>
      </w:r>
      <w:r>
        <w:rPr>
          <w:rFonts w:eastAsia="宋体"/>
        </w:rPr>
        <w:t>τις δυνάμεις που ασκούνται στη δομή από τα γειτονικά κελιά.</w:t>
      </w:r>
    </w:p>
    <w:p>
      <w:pPr>
        <w:pStyle w:val="style0"/>
        <w:rPr>
          <w:rFonts w:eastAsia="宋体"/>
        </w:rPr>
      </w:pPr>
      <w:r>
        <w:rPr>
          <w:rFonts w:eastAsia="宋体"/>
        </w:rPr>
        <w:t xml:space="preserve">Η ανάλυση </w:t>
      </w:r>
      <w:r>
        <w:rPr>
          <w:rFonts w:eastAsia="宋体"/>
          <w:lang w:val="en-US"/>
        </w:rPr>
        <w:t>Bloch</w:t>
      </w:r>
      <w:r>
        <w:rPr>
          <w:rFonts w:eastAsia="宋体"/>
        </w:rPr>
        <w:t xml:space="preserve"> </w:t>
      </w:r>
      <w:r>
        <w:rPr>
          <w:rFonts w:eastAsia="宋体"/>
        </w:rPr>
        <w:t xml:space="preserve"> ξεκινάει</w:t>
      </w:r>
      <w:r>
        <w:rPr>
          <w:rFonts w:eastAsia="宋体"/>
        </w:rPr>
        <w:t xml:space="preserve"> </w:t>
      </w:r>
      <w:r>
        <w:rPr>
          <w:rFonts w:eastAsia="宋体"/>
        </w:rPr>
        <w:t xml:space="preserve">με αρμονική επίλυση για το </w:t>
      </w:r>
      <m:oMath>
        <m:r>
          <w:rPr>
            <w:rFonts w:ascii="Cambria Math" w:hAnsi="Cambria Math"/>
          </w:rPr>
          <m:t>q</m:t>
        </m:r>
      </m:oMath>
      <w:r>
        <w:rPr>
          <w:rFonts w:eastAsia="宋体"/>
        </w:rPr>
        <w:t xml:space="preserve"> με αποτέλεσμα το </w:t>
      </w:r>
      <m:oMath>
        <m:limUpp>
          <m:limUppPr>
            <m:ctrlPr>
              <w:rPr>
                <w:rFonts w:ascii="Cambria Math" w:hAnsi="Cambria Math"/>
              </w:rPr>
            </m:ctrlPr>
          </m:limUppPr>
          <m:e>
            <m:r>
              <w:rPr>
                <w:rFonts w:ascii="Cambria Math" w:hAnsi="Cambria Math"/>
              </w:rPr>
              <m:t>q</m:t>
            </m:r>
          </m:e>
          <m:lim>
            <m:r>
              <w:rPr>
                <w:rFonts w:ascii="Cambria Math" w:hAnsi="Cambria Math"/>
              </w:rPr>
              <m:t>¨</m:t>
            </m:r>
          </m:lim>
        </m:limUpp>
      </m:oMath>
      <w:r>
        <w:rPr>
          <w:rFonts w:eastAsia="宋体"/>
        </w:rPr>
        <w:t xml:space="preserve"> να αντικατασταθεί με </w:t>
      </w:r>
      <m:oMath>
        <m:sSup>
          <m:sSupPr>
            <m:ctrlPr>
              <w:rPr>
                <w:rFonts w:ascii="Cambria Math" w:hAnsi="Cambria Math"/>
              </w:rPr>
            </m:ctrlPr>
          </m:sSupPr>
          <m:e>
            <m:r>
              <w:rPr>
                <w:rFonts w:ascii="Cambria Math" w:hAnsi="Cambria Math"/>
              </w:rPr>
              <m:t>ω</m:t>
            </m:r>
          </m:e>
          <m:sup>
            <m:r>
              <w:rPr>
                <w:rFonts w:ascii="Cambria Math" w:hAnsi="Cambria Math"/>
              </w:rPr>
              <m:t>2</m:t>
            </m:r>
          </m:sup>
        </m:sSup>
        <m:r>
          <w:rPr>
            <w:rFonts w:ascii="Cambria Math" w:hAnsi="Cambria Math"/>
          </w:rPr>
          <m:t>q</m:t>
        </m:r>
      </m:oMath>
      <w:r>
        <w:rPr>
          <w:rFonts w:eastAsia="宋体"/>
        </w:rPr>
        <w:t xml:space="preserve"> </w:t>
      </w:r>
      <w:r>
        <w:rPr>
          <w:rFonts w:eastAsia="宋体"/>
        </w:rPr>
        <w:t>οπότε:</w:t>
      </w:r>
    </w:p>
    <w:p>
      <w:pPr>
        <w:pStyle w:val="style0"/>
        <w:jc w:val="center"/>
        <w:rPr>
          <w:rFonts w:eastAsia="宋体"/>
        </w:rPr>
      </w:pPr>
      <m:oMath>
        <m:d>
          <m:dPr>
            <m:endChr m:val=")"/>
            <m:ctrlPr>
              <w:rPr>
                <w:rFonts w:ascii="Cambria Math" w:hAnsi="Cambria Math"/>
              </w:rPr>
            </m:ctrlPr>
          </m:dPr>
          <m:e>
            <m:r>
              <w:rPr>
                <w:rFonts w:ascii="Cambria Math" w:hAnsi="Cambria Math"/>
              </w:rPr>
              <m:t>-</m:t>
            </m:r>
            <m:sSup>
              <m:sSupPr>
                <m:ctrlPr>
                  <w:rPr>
                    <w:rFonts w:ascii="Cambria Math" w:hAnsi="Cambria Math"/>
                  </w:rPr>
                </m:ctrlPr>
              </m:sSupPr>
              <m:e>
                <m:r>
                  <w:rPr>
                    <w:rFonts w:ascii="Cambria Math" w:hAnsi="Cambria Math"/>
                  </w:rPr>
                  <m:t>ω</m:t>
                </m:r>
              </m:e>
              <m:sup>
                <m:r>
                  <w:rPr>
                    <w:rFonts w:ascii="Cambria Math" w:hAnsi="Cambria Math"/>
                  </w:rPr>
                  <m:t>2</m:t>
                </m:r>
              </m:sup>
            </m:sSup>
            <m:r>
              <w:rPr>
                <w:rFonts w:ascii="Cambria Math" w:hAnsi="Cambria Math"/>
              </w:rPr>
              <m:t>M+K</m:t>
            </m:r>
          </m:e>
        </m:d>
        <m:r>
          <w:rPr>
            <w:rFonts w:ascii="Cambria Math" w:hAnsi="Cambria Math"/>
          </w:rPr>
          <m:t>q=F</m:t>
        </m:r>
      </m:oMath>
      <w:r>
        <w:rPr>
          <w:rFonts w:eastAsia="宋体"/>
        </w:rPr>
        <w:tab/>
      </w:r>
      <w:r>
        <w:rPr>
          <w:rFonts w:eastAsia="宋体"/>
        </w:rPr>
        <w:t>(</w:t>
      </w:r>
      <w:r>
        <w:rPr>
          <w:rFonts w:eastAsia="宋体"/>
        </w:rPr>
        <w:t>11</w:t>
      </w:r>
      <w:r>
        <w:rPr>
          <w:rFonts w:eastAsia="宋体"/>
        </w:rPr>
        <w:t>)</w:t>
      </w:r>
    </w:p>
    <w:p>
      <w:pPr>
        <w:pStyle w:val="style0"/>
        <w:rPr>
          <w:rFonts w:eastAsia="宋体"/>
        </w:rPr>
      </w:pPr>
      <w:r>
        <w:rPr>
          <w:rFonts w:eastAsia="宋体"/>
        </w:rPr>
        <w:t xml:space="preserve">Κάνοντας αντικατάσταση, οι εκτοπίσεις του κελιού που βρίσκεται στο </w:t>
      </w:r>
      <m:oMath>
        <m:sSub>
          <m:sSubPr>
            <m:ctrlPr>
              <w:rPr>
                <w:rFonts w:ascii="Cambria Math" w:hAnsi="Cambria Math"/>
              </w:rPr>
            </m:ctrlPr>
          </m:sSubPr>
          <m:e>
            <m:r>
              <w:rPr>
                <w:rFonts w:ascii="Cambria Math" w:hAnsi="Cambria Math"/>
              </w:rPr>
              <m:t>n</m:t>
            </m:r>
          </m:e>
          <m:sub>
            <m:r>
              <w:rPr>
                <w:rFonts w:ascii="Cambria Math" w:hAnsi="Cambria Math"/>
              </w:rPr>
              <m:t>1</m:t>
            </m:r>
          </m:sub>
        </m:sSub>
        <m:sSub>
          <m:sSubPr>
            <m:ctrlPr>
              <w:rPr>
                <w:rFonts w:ascii="Cambria Math" w:hAnsi="Cambria Math"/>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2</m:t>
            </m:r>
          </m:sub>
        </m:sSub>
        <m:sSub>
          <m:sSubPr>
            <m:ctrlPr>
              <w:rPr>
                <w:rFonts w:ascii="Cambria Math" w:hAnsi="Cambria Math"/>
              </w:rPr>
            </m:ctrlPr>
          </m:sSubPr>
          <m:e>
            <m:r>
              <w:rPr>
                <w:rFonts w:ascii="Cambria Math" w:hAnsi="Cambria Math"/>
              </w:rPr>
              <m:t>a</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3</m:t>
            </m:r>
          </m:sub>
        </m:sSub>
        <m:sSub>
          <m:sSubPr>
            <m:ctrlPr>
              <w:rPr>
                <w:rFonts w:ascii="Cambria Math" w:hAnsi="Cambria Math"/>
              </w:rPr>
            </m:ctrlPr>
          </m:sSubPr>
          <m:e>
            <m:r>
              <w:rPr>
                <w:rFonts w:ascii="Cambria Math" w:hAnsi="Cambria Math"/>
              </w:rPr>
              <m:t>a</m:t>
            </m:r>
          </m:e>
          <m:sub>
            <m:r>
              <w:rPr>
                <w:rFonts w:ascii="Cambria Math" w:hAnsi="Cambria Math"/>
              </w:rPr>
              <m:t>3</m:t>
            </m:r>
          </m:sub>
        </m:sSub>
      </m:oMath>
      <w:r>
        <w:rPr>
          <w:rFonts w:eastAsia="宋体"/>
        </w:rPr>
        <w:t xml:space="preserve"> </w:t>
      </w:r>
      <w:r>
        <w:rPr>
          <w:rFonts w:eastAsia="宋体"/>
        </w:rPr>
        <w:t xml:space="preserve">με </w:t>
      </w:r>
      <m:oMath>
        <m:r>
          <w:rPr>
            <w:rFonts w:ascii="Cambria Math" w:hAnsi="Cambria Math"/>
          </w:rPr>
          <m:t>q</m:t>
        </m:r>
        <m:d>
          <m:dPr>
            <m:endChr m:val=")"/>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3</m:t>
                </m:r>
              </m:sub>
            </m:sSub>
          </m:e>
        </m:d>
      </m:oMath>
      <w:r>
        <w:rPr>
          <w:rFonts w:eastAsia="宋体"/>
        </w:rPr>
        <w:t xml:space="preserve">. </w:t>
      </w:r>
      <w:r>
        <w:rPr>
          <w:rFonts w:eastAsia="宋体"/>
        </w:rPr>
        <w:t>Υπάρχει λύση στο σύστημα και θα έχει την ιδιότητα:</w:t>
      </w:r>
    </w:p>
    <w:p>
      <w:pPr>
        <w:pStyle w:val="style0"/>
        <w:jc w:val="center"/>
        <w:rPr>
          <w:rFonts w:eastAsia="宋体"/>
        </w:rPr>
      </w:pPr>
      <m:oMath>
        <m:r>
          <w:rPr>
            <w:rFonts w:ascii="Cambria Math" w:hAnsi="Cambria Math"/>
          </w:rPr>
          <m:t>q</m:t>
        </m:r>
        <m:d>
          <m:dPr>
            <m:endChr m:val=")"/>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3</m:t>
                </m:r>
              </m:sub>
            </m:sSub>
          </m:e>
        </m:d>
        <m: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&lt;k,</m:t>
            </m:r>
            <m:sSub>
              <m:sSubPr>
                <m:ctrlPr>
                  <w:rPr>
                    <w:rFonts w:ascii="Cambria Math" w:hAnsi="Cambria Math"/>
                  </w:rPr>
                </m:ctrlPr>
              </m:sSubPr>
              <m:e>
                <m:r>
                  <w:rPr>
                    <w:rFonts w:ascii="Cambria Math" w:hAnsi="Cambria Math"/>
                  </w:rPr>
                  <m:t>n</m:t>
                </m:r>
              </m:e>
              <m:sub>
                <m:r>
                  <w:rPr>
                    <w:rFonts w:ascii="Cambria Math" w:hAnsi="Cambria Math"/>
                  </w:rPr>
                  <m:t>1</m:t>
                </m:r>
              </m:sub>
            </m:sSub>
            <m:sSub>
              <m:sSubPr>
                <m:ctrlPr>
                  <w:rPr>
                    <w:rFonts w:ascii="Cambria Math" w:hAnsi="Cambria Math"/>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2</m:t>
                </m:r>
              </m:sub>
            </m:sSub>
            <m:sSub>
              <m:sSubPr>
                <m:ctrlPr>
                  <w:rPr>
                    <w:rFonts w:ascii="Cambria Math" w:hAnsi="Cambria Math"/>
                  </w:rPr>
                </m:ctrlPr>
              </m:sSubPr>
              <m:e>
                <m:r>
                  <w:rPr>
                    <w:rFonts w:ascii="Cambria Math" w:hAnsi="Cambria Math"/>
                  </w:rPr>
                  <m:t>a</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3</m:t>
                </m:r>
              </m:sub>
            </m:sSub>
            <m:sSub>
              <m:sSubPr>
                <m:ctrlPr>
                  <w:rPr>
                    <w:rFonts w:ascii="Cambria Math" w:hAnsi="Cambria Math"/>
                  </w:rPr>
                </m:ctrlPr>
              </m:sSubPr>
              <m:e>
                <m:r>
                  <w:rPr>
                    <w:rFonts w:ascii="Cambria Math" w:hAnsi="Cambria Math"/>
                  </w:rPr>
                  <m:t>a</m:t>
                </m:r>
              </m:e>
              <m:sub>
                <m:r>
                  <w:rPr>
                    <w:rFonts w:ascii="Cambria Math" w:hAnsi="Cambria Math"/>
                  </w:rPr>
                  <m:t>3</m:t>
                </m:r>
              </m:sub>
            </m:sSub>
            <m:r>
              <w:rPr>
                <w:rFonts w:ascii="Cambria Math" w:hAnsi="Cambria Math"/>
              </w:rPr>
              <m:t>&gt;</m:t>
            </m:r>
          </m:sup>
        </m:sSup>
        <m:r>
          <w:rPr>
            <w:rFonts w:ascii="Cambria Math" w:hAnsi="Cambria Math"/>
          </w:rPr>
          <m:t>q</m:t>
        </m:r>
        <m:d>
          <m:dPr>
            <m:endChr m:val=")"/>
            <m:ctrlPr>
              <w:rPr>
                <w:rFonts w:ascii="Cambria Math" w:hAnsi="Cambria Math"/>
              </w:rPr>
            </m:ctrlPr>
          </m:dPr>
          <m:e>
            <m:r>
              <w:rPr>
                <w:rFonts w:ascii="Cambria Math" w:hAnsi="Cambria Math"/>
              </w:rPr>
              <m:t>0,0,0</m:t>
            </m:r>
          </m:e>
        </m:d>
      </m:oMath>
      <w:r>
        <w:rPr>
          <w:rFonts w:eastAsia="宋体"/>
        </w:rPr>
        <w:tab/>
      </w:r>
      <w:r>
        <w:rPr>
          <w:rFonts w:eastAsia="宋体"/>
        </w:rPr>
        <w:t>(</w:t>
      </w:r>
      <w:r>
        <w:rPr>
          <w:rFonts w:eastAsia="宋体"/>
        </w:rPr>
        <w:t>12</w:t>
      </w:r>
      <w:r>
        <w:rPr>
          <w:rFonts w:eastAsia="宋体"/>
        </w:rPr>
        <w:t>)</w:t>
      </w:r>
    </w:p>
    <w:p>
      <w:pPr>
        <w:pStyle w:val="style0"/>
        <w:rPr/>
      </w:pPr>
      <w:r>
        <w:rPr>
          <w:rFonts w:eastAsia="宋体"/>
        </w:rPr>
        <w:t xml:space="preserve">Όπου </w:t>
      </w:r>
      <m:oMath>
        <m:r>
          <w:rPr>
            <w:rFonts w:ascii="Cambria Math" w:hAnsi="Cambria Math"/>
          </w:rPr>
          <m:t>&lt;k,</m:t>
        </m:r>
        <m:sSub>
          <m:sSubPr>
            <m:ctrlPr>
              <w:rPr>
                <w:rFonts w:ascii="Cambria Math" w:hAnsi="Cambria Math"/>
              </w:rPr>
            </m:ctrlPr>
          </m:sSubPr>
          <m:e>
            <m:r>
              <w:rPr>
                <w:rFonts w:ascii="Cambria Math" w:hAnsi="Cambria Math"/>
              </w:rPr>
              <m:t>n</m:t>
            </m:r>
          </m:e>
          <m:sub>
            <m:r>
              <w:rPr>
                <w:rFonts w:ascii="Cambria Math" w:hAnsi="Cambria Math"/>
              </w:rPr>
              <m:t>1</m:t>
            </m:r>
          </m:sub>
        </m:sSub>
        <m:sSub>
          <m:sSubPr>
            <m:ctrlPr>
              <w:rPr>
                <w:rFonts w:ascii="Cambria Math" w:hAnsi="Cambria Math"/>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2</m:t>
            </m:r>
          </m:sub>
        </m:sSub>
        <m:sSub>
          <m:sSubPr>
            <m:ctrlPr>
              <w:rPr>
                <w:rFonts w:ascii="Cambria Math" w:hAnsi="Cambria Math"/>
              </w:rPr>
            </m:ctrlPr>
          </m:sSubPr>
          <m:e>
            <m:r>
              <w:rPr>
                <w:rFonts w:ascii="Cambria Math" w:hAnsi="Cambria Math"/>
              </w:rPr>
              <m:t>a</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3</m:t>
            </m:r>
          </m:sub>
        </m:sSub>
        <m:sSub>
          <m:sSubPr>
            <m:ctrlPr>
              <w:rPr>
                <w:rFonts w:ascii="Cambria Math" w:hAnsi="Cambria Math"/>
              </w:rPr>
            </m:ctrlPr>
          </m:sSubPr>
          <m:e>
            <m:r>
              <w:rPr>
                <w:rFonts w:ascii="Cambria Math" w:hAnsi="Cambria Math"/>
              </w:rPr>
              <m:t>a</m:t>
            </m:r>
          </m:e>
          <m:sub>
            <m:r>
              <w:rPr>
                <w:rFonts w:ascii="Cambria Math" w:hAnsi="Cambria Math"/>
              </w:rPr>
              <m:t>3</m:t>
            </m:r>
          </m:sub>
        </m:sSub>
        <m:r>
          <w:rPr>
            <w:rFonts w:ascii="Cambria Math" w:hAnsi="Cambria Math"/>
          </w:rPr>
          <m:t>&gt;</m:t>
        </m:r>
      </m:oMath>
      <w:r>
        <w:rPr>
          <w:rFonts w:eastAsia="宋体"/>
        </w:rPr>
        <w:t xml:space="preserve"> η γενική μορφή της σταθεράς μετάδοσης.</w:t>
      </w:r>
      <w:r>
        <w:rPr>
          <w:rFonts w:eastAsia="宋体"/>
        </w:rPr>
        <w:t xml:space="preserve"> </w:t>
      </w:r>
      <w:r>
        <w:t xml:space="preserve">Η </w:t>
      </w:r>
      <w:r>
        <w:t>ιδιοτιμή</w:t>
      </w:r>
      <w:r>
        <w:t xml:space="preserve"> ω είναι η συχνότητα μετάδοσης και είναι συνάρτηση των </w:t>
      </w:r>
      <w:r>
        <w:rPr>
          <w:lang w:val="en-US"/>
        </w:rPr>
        <w:t>M</w:t>
      </w:r>
      <w:r>
        <w:t>,</w:t>
      </w:r>
      <w:r>
        <w:rPr>
          <w:lang w:val="en-US"/>
        </w:rPr>
        <w:t>K</w:t>
      </w:r>
      <w:r>
        <w:t xml:space="preserve"> και του διανύσματος κύματος </w:t>
      </w:r>
      <w:r>
        <w:rPr>
          <w:lang w:val="en-US"/>
        </w:rPr>
        <w:t>k</w:t>
      </w:r>
      <w:r>
        <w:t>.</w:t>
      </w:r>
      <w:r>
        <w:t>[4],</w:t>
      </w:r>
      <w:r>
        <w:t>[5],[6],[12]</w:t>
      </w:r>
    </w:p>
    <w:p>
      <w:pPr>
        <w:pStyle w:val="style0"/>
        <w:rPr/>
      </w:pPr>
    </w:p>
    <w:bookmarkStart w:id="25" w:name="_Toc77270432"/>
    <w:p>
      <w:pPr>
        <w:pStyle w:val="style2"/>
        <w:rPr/>
      </w:pPr>
      <w:r>
        <w:rPr>
          <w:lang w:val="en-US"/>
        </w:rPr>
        <w:t>IBZ</w:t>
      </w:r>
      <w:r>
        <w:t xml:space="preserve"> (</w:t>
      </w:r>
      <w:r>
        <w:rPr>
          <w:lang w:val="en-US"/>
        </w:rPr>
        <w:t>Irreducible</w:t>
      </w:r>
      <w:r>
        <w:t xml:space="preserve"> </w:t>
      </w:r>
      <w:r>
        <w:rPr>
          <w:lang w:val="en-US"/>
        </w:rPr>
        <w:t>Brillouin</w:t>
      </w:r>
      <w:r>
        <w:t xml:space="preserve"> </w:t>
      </w:r>
      <w:r>
        <w:rPr>
          <w:lang w:val="en-US"/>
        </w:rPr>
        <w:t>Zone</w:t>
      </w:r>
      <w:r>
        <w:t xml:space="preserve">) </w:t>
      </w:r>
      <w:r>
        <w:t>και</w:t>
      </w:r>
      <w:r>
        <w:t xml:space="preserve"> </w:t>
      </w:r>
      <w:r>
        <w:t>περιοδικά</w:t>
      </w:r>
      <w:r>
        <w:t xml:space="preserve"> </w:t>
      </w:r>
      <w:r>
        <w:t>μοντέλα</w:t>
      </w:r>
      <w:bookmarkEnd w:id="25"/>
    </w:p>
    <w:p>
      <w:pPr>
        <w:pStyle w:val="style0"/>
        <w:rPr/>
      </w:pPr>
    </w:p>
    <w:p>
      <w:pPr>
        <w:pStyle w:val="style0"/>
        <w:rPr/>
      </w:pPr>
      <w:r>
        <w:t>Όταν χρειάζεται να διερευνηθούν υποθέσεις σε περιοδικά πλέγματα, είναι αναγκαίο να απλοποιηθούν οι υπολογισμοί, ούτως ώστε να μην υπάρχει μεγάλη απαίτηση από το σύστημα υπολογισμών που θα χρησιμοποιηθεί.</w:t>
      </w:r>
    </w:p>
    <w:p>
      <w:pPr>
        <w:pStyle w:val="style0"/>
        <w:rPr/>
      </w:pPr>
      <w:r>
        <w:t>Έτσι, αντί να γίνει διερεύνηση για όλα τα στοιχεία ενός πλέγματος θα γίνει μόνο για ένα όπως φαίνεται στην παρακάτω εικόνα:</w:t>
      </w:r>
    </w:p>
    <w:p>
      <w:pPr>
        <w:pStyle w:val="style0"/>
        <w:keepNext/>
        <w:rPr/>
      </w:pPr>
      <w:r>
        <w:rPr>
          <w:noProof/>
        </w:rPr>
        <w:drawing>
          <wp:inline distL="0" distT="0" distB="0" distR="0">
            <wp:extent cx="5274310" cy="2505710"/>
            <wp:effectExtent l="0" t="0" r="2540" b="8890"/>
            <wp:docPr id="1031" name="Εικόνα 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 name="Εικόνα 6"/>
                    <pic:cNvPicPr/>
                  </pic:nvPicPr>
                  <pic:blipFill>
                    <a:blip r:embed="rId7" cstate="print"/>
                    <a:srcRect l="0" t="0" r="0" b="0"/>
                    <a:stretch/>
                  </pic:blipFill>
                  <pic:spPr>
                    <a:xfrm rot="0">
                      <a:off x="0" y="0"/>
                      <a:ext cx="5274310" cy="2505710"/>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5</w:t>
      </w:r>
      <w:r>
        <w:rPr/>
        <w:fldChar w:fldCharType="end"/>
      </w:r>
      <w:r>
        <w:t xml:space="preserve"> Μεμονωμένη δομή</w:t>
      </w:r>
    </w:p>
    <w:p>
      <w:pPr>
        <w:pStyle w:val="style0"/>
        <w:rPr/>
      </w:pPr>
      <w:r>
        <w:t>Αυτό είναι εφικτό να απλοποιηθεί ακόμα περισσότερο βρίσκοντας το μικρότερο τμήμα της δομής, το οποίο όταν καθρε</w:t>
      </w:r>
      <w:r>
        <w:t>φ</w:t>
      </w:r>
      <w:r>
        <w:t xml:space="preserve">τιστεί γύρω από έναν άξονα συμμετρίας, είτε μια είτε πολλαπλές φορές και πολλαπλούς άξονες, θα δημιουργήσει την αρχική δομή. Αυτό το τμήμα ονομάζεται </w:t>
      </w:r>
      <w:r>
        <w:rPr>
          <w:lang w:val="en-US"/>
        </w:rPr>
        <w:t>IBZ</w:t>
      </w:r>
      <w:r>
        <w:t xml:space="preserve"> (</w:t>
      </w:r>
      <w:r>
        <w:rPr>
          <w:lang w:val="en-US"/>
        </w:rPr>
        <w:t>Irreducible</w:t>
      </w:r>
      <w:r>
        <w:t xml:space="preserve"> </w:t>
      </w:r>
      <w:r>
        <w:rPr>
          <w:lang w:val="en-US"/>
        </w:rPr>
        <w:t>Brillouin</w:t>
      </w:r>
      <w:r>
        <w:t xml:space="preserve"> </w:t>
      </w:r>
      <w:r>
        <w:rPr>
          <w:lang w:val="en-US"/>
        </w:rPr>
        <w:t>Zone</w:t>
      </w:r>
      <w:r>
        <w:t xml:space="preserve">) </w:t>
      </w:r>
      <w:r>
        <w:t>και κάποια παραδείγματα φαίνονται στις επόμενες εικόνες:</w:t>
      </w:r>
    </w:p>
    <w:p>
      <w:pPr>
        <w:pStyle w:val="style0"/>
        <w:keepNext/>
        <w:jc w:val="right"/>
        <w:rPr/>
      </w:pPr>
      <w:r>
        <w:rPr>
          <w:noProof/>
        </w:rPr>
        <w:drawing>
          <wp:inline distL="0" distT="0" distB="0" distR="0">
            <wp:extent cx="5274310" cy="2134870"/>
            <wp:effectExtent l="0" t="0" r="2540" b="0"/>
            <wp:docPr id="1032" name="Εικόνα 1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6" name="Εικόνα 12"/>
                    <pic:cNvPicPr/>
                  </pic:nvPicPr>
                  <pic:blipFill>
                    <a:blip r:embed="rId8" cstate="print"/>
                    <a:srcRect l="0" t="0" r="0" b="0"/>
                    <a:stretch/>
                  </pic:blipFill>
                  <pic:spPr>
                    <a:xfrm rot="0">
                      <a:off x="0" y="0"/>
                      <a:ext cx="5274310" cy="2134870"/>
                    </a:xfrm>
                    <a:prstGeom prst="rect"/>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6</w:t>
      </w:r>
      <w:r>
        <w:rPr/>
        <w:fldChar w:fldCharType="end"/>
      </w:r>
      <w:r>
        <w:t xml:space="preserve"> (</w:t>
      </w:r>
      <w:r>
        <w:rPr>
          <w:lang w:val="en-US"/>
        </w:rPr>
        <w:t>a</w:t>
      </w:r>
      <w:r>
        <w:t xml:space="preserve">) </w:t>
      </w:r>
      <w:r>
        <w:t xml:space="preserve">πλάγιο, </w:t>
      </w:r>
      <w:r>
        <w:t>(</w:t>
      </w:r>
      <w:r>
        <w:rPr>
          <w:lang w:val="en-US"/>
        </w:rPr>
        <w:t>b</w:t>
      </w:r>
      <w:r>
        <w:t xml:space="preserve">) </w:t>
      </w:r>
      <w:r>
        <w:t>ορθωγονικό</w:t>
      </w:r>
      <w:r>
        <w:t xml:space="preserve">, </w:t>
      </w:r>
      <w:r>
        <w:t>(</w:t>
      </w:r>
      <w:r>
        <w:rPr>
          <w:lang w:val="en-US"/>
        </w:rPr>
        <w:t>c</w:t>
      </w:r>
      <w:r>
        <w:t>)</w:t>
      </w:r>
      <w:r>
        <w:t xml:space="preserve"> ρομβικό, (</w:t>
      </w:r>
      <w:r>
        <w:rPr>
          <w:lang w:val="en-US"/>
        </w:rPr>
        <w:t>d</w:t>
      </w:r>
      <w:r>
        <w:t>)</w:t>
      </w:r>
      <w:r>
        <w:t xml:space="preserve"> τετραγωνικό, </w:t>
      </w:r>
      <w:r>
        <w:t>(</w:t>
      </w:r>
      <w:r>
        <w:rPr>
          <w:lang w:val="en-US"/>
        </w:rPr>
        <w:t>e</w:t>
      </w:r>
      <w:r>
        <w:t>)</w:t>
      </w:r>
      <w:r>
        <w:t xml:space="preserve"> εξαγωνικό κελί με τις αντίστοιχες </w:t>
      </w:r>
      <w:r>
        <w:rPr>
          <w:lang w:val="en-US"/>
        </w:rPr>
        <w:t>Brillouin</w:t>
      </w:r>
      <w:r>
        <w:t xml:space="preserve"> </w:t>
      </w:r>
      <w:r>
        <w:rPr>
          <w:lang w:val="en-US"/>
        </w:rPr>
        <w:t>Zones</w:t>
      </w:r>
      <w:r>
        <w:t>.</w:t>
      </w:r>
    </w:p>
    <w:p>
      <w:pPr>
        <w:pStyle w:val="style0"/>
        <w:rPr/>
      </w:pPr>
    </w:p>
    <w:p>
      <w:pPr>
        <w:pStyle w:val="style0"/>
        <w:rPr/>
      </w:pPr>
      <w:r>
        <w:t>Βάσει των 2 παραπάνω εικόνων γίνεται εμφανές ότι η δομή που μελετάται θα έχει τους εξής άξονες συμμετρίας:</w:t>
      </w:r>
    </w:p>
    <w:p>
      <w:pPr>
        <w:pStyle w:val="style0"/>
        <w:keepNext/>
        <w:rPr/>
      </w:pPr>
      <w:r>
        <w:rPr>
          <w:noProof/>
        </w:rPr>
        <w:drawing>
          <wp:inline distL="0" distT="0" distB="0" distR="0">
            <wp:extent cx="5274310" cy="2558415"/>
            <wp:effectExtent l="0" t="0" r="2540" b="0"/>
            <wp:docPr id="1033" name="Εικόνα 1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7" name="Εικόνα 14"/>
                    <pic:cNvPicPr/>
                  </pic:nvPicPr>
                  <pic:blipFill>
                    <a:blip r:embed="rId9" cstate="print"/>
                    <a:srcRect l="0" t="0" r="0" b="0"/>
                    <a:stretch/>
                  </pic:blipFill>
                  <pic:spPr>
                    <a:xfrm rot="0">
                      <a:off x="0" y="0"/>
                      <a:ext cx="5274310" cy="2558415"/>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7</w:t>
      </w:r>
      <w:r>
        <w:rPr/>
        <w:fldChar w:fldCharType="end"/>
      </w:r>
      <w:r>
        <w:t xml:space="preserve"> </w:t>
      </w:r>
      <w:r>
        <w:t>Το σκιαγ</w:t>
      </w:r>
      <w:r>
        <w:t>ραφημένο τμήμα αποτελεί την ΙΒΖ (Γ-Χ-Μ-Υ-Γ)</w:t>
      </w:r>
    </w:p>
    <w:p>
      <w:pPr>
        <w:pStyle w:val="style0"/>
        <w:rPr/>
      </w:pPr>
      <w:r>
        <w:t>Φαίνεται πως το μικρότερο τμήμα που μπορεί να καθρε</w:t>
      </w:r>
      <w:r>
        <w:t>φ</w:t>
      </w:r>
      <w:r>
        <w:t xml:space="preserve">τιστεί είναι το τεταρτημόριο, αυτό ονομάζεται </w:t>
      </w:r>
      <w:r>
        <w:rPr>
          <w:lang w:val="en-US"/>
        </w:rPr>
        <w:t>p</w:t>
      </w:r>
      <w:r>
        <w:t>4</w:t>
      </w:r>
      <w:r>
        <w:t>.</w:t>
      </w:r>
    </w:p>
    <w:p>
      <w:pPr>
        <w:pStyle w:val="style0"/>
        <w:rPr/>
      </w:pPr>
      <w:r>
        <w:t xml:space="preserve">Για να βρεθεί η τελική δομή από την </w:t>
      </w:r>
      <w:r>
        <w:rPr>
          <w:lang w:val="en-US"/>
        </w:rPr>
        <w:t>IBZ</w:t>
      </w:r>
      <w:r>
        <w:t xml:space="preserve"> θα πρέπει να καθρε</w:t>
      </w:r>
      <w:r>
        <w:t>φ</w:t>
      </w:r>
      <w:r>
        <w:t xml:space="preserve">τιστεί το σκιαγραφημένο κομμάτι ως προς τον άξονα των </w:t>
      </w:r>
      <w:r>
        <w:rPr>
          <w:lang w:val="en-US"/>
        </w:rPr>
        <w:t>y</w:t>
      </w:r>
      <w:r>
        <w:t xml:space="preserve"> </w:t>
      </w:r>
      <w:r>
        <w:t xml:space="preserve">και έπειτα, αυτό που θα δημιουργηθεί, ως προς τον άξονα των </w:t>
      </w:r>
      <w:r>
        <w:rPr>
          <w:lang w:val="en-US"/>
        </w:rPr>
        <w:t>x</w:t>
      </w:r>
      <w:r>
        <w:t>.</w:t>
      </w:r>
    </w:p>
    <w:p>
      <w:pPr>
        <w:pStyle w:val="style0"/>
        <w:rPr/>
      </w:pPr>
      <w:r>
        <w:t>Στον επόμενο πίνακα φαίνονται οι συντεταγμένες του κάθε σημείου της παραπάνω εικόνας, υπό την προϋπόθεση ότι το Γ βρίσκεται στο [0,0].</w:t>
      </w:r>
    </w:p>
    <w:p>
      <w:pPr>
        <w:pStyle w:val="style0"/>
        <w:rPr/>
      </w:pPr>
    </w:p>
    <w:tbl>
      <w:tblPr>
        <w:tblStyle w:val="style154"/>
        <w:tblW w:w="0" w:type="auto"/>
        <w:tblInd w:w="1718" w:type="dxa"/>
        <w:tblLook w:val="04A0" w:firstRow="1" w:lastRow="0" w:firstColumn="1" w:lastColumn="0" w:noHBand="0" w:noVBand="1"/>
      </w:tblPr>
      <w:tblGrid>
        <w:gridCol w:w="1543"/>
        <w:gridCol w:w="3317"/>
      </w:tblGrid>
      <w:tr>
        <w:trPr/>
        <w:tc>
          <w:tcPr>
            <w:tcW w:w="1543" w:type="dxa"/>
            <w:tcBorders/>
          </w:tcPr>
          <w:p>
            <w:pPr>
              <w:pStyle w:val="style0"/>
              <w:jc w:val="center"/>
              <w:rPr/>
            </w:pPr>
          </w:p>
        </w:tc>
        <w:tc>
          <w:tcPr>
            <w:tcW w:w="3317" w:type="dxa"/>
            <w:tcBorders/>
          </w:tcPr>
          <w:p>
            <w:pPr>
              <w:pStyle w:val="style0"/>
              <w:jc w:val="center"/>
              <w:rPr/>
            </w:pPr>
            <w:r>
              <w:t>Καρτεσιανές Συντεταγμένες</w:t>
            </w:r>
          </w:p>
        </w:tc>
      </w:tr>
      <w:tr>
        <w:tblPrEx/>
        <w:trPr/>
        <w:tc>
          <w:tcPr>
            <w:tcW w:w="1543" w:type="dxa"/>
            <w:tcBorders/>
          </w:tcPr>
          <w:p>
            <w:pPr>
              <w:pStyle w:val="style0"/>
              <w:jc w:val="center"/>
              <w:rPr/>
            </w:pPr>
            <w:r>
              <w:t>Γ</w:t>
            </w:r>
          </w:p>
        </w:tc>
        <w:tc>
          <w:tcPr>
            <w:tcW w:w="3317" w:type="dxa"/>
            <w:tcBorders/>
          </w:tcPr>
          <w:p>
            <w:pPr>
              <w:pStyle w:val="style0"/>
              <w:jc w:val="center"/>
              <w:rPr/>
            </w:pPr>
            <w:r>
              <w:t>(0,0)</w:t>
            </w:r>
          </w:p>
        </w:tc>
      </w:tr>
      <w:tr>
        <w:tblPrEx/>
        <w:trPr/>
        <w:tc>
          <w:tcPr>
            <w:tcW w:w="1543" w:type="dxa"/>
            <w:tcBorders/>
          </w:tcPr>
          <w:p>
            <w:pPr>
              <w:pStyle w:val="style0"/>
              <w:jc w:val="center"/>
              <w:rPr/>
            </w:pPr>
            <w:r>
              <w:t>Χ</w:t>
            </w:r>
          </w:p>
        </w:tc>
        <w:tc>
          <w:tcPr>
            <w:tcW w:w="3317" w:type="dxa"/>
            <w:tcBorders/>
          </w:tcPr>
          <w:p>
            <w:pPr>
              <w:pStyle w:val="style0"/>
              <w:jc w:val="center"/>
              <w:rPr>
                <w:lang w:val="en-US"/>
              </w:rPr>
            </w:pPr>
            <w:r>
              <w:t>(</w:t>
            </w:r>
            <w:r>
              <w:rPr>
                <w:lang w:val="en-US"/>
              </w:rPr>
              <w:t>L</w:t>
            </w:r>
            <w:r>
              <w:rPr>
                <w:vertAlign w:val="subscript"/>
                <w:lang w:val="en-US"/>
              </w:rPr>
              <w:t>1</w:t>
            </w:r>
            <w:r>
              <w:rPr>
                <w:lang w:val="en-US"/>
              </w:rPr>
              <w:t>/2,0)</w:t>
            </w:r>
          </w:p>
        </w:tc>
      </w:tr>
      <w:tr>
        <w:tblPrEx/>
        <w:trPr/>
        <w:tc>
          <w:tcPr>
            <w:tcW w:w="1543" w:type="dxa"/>
            <w:tcBorders/>
          </w:tcPr>
          <w:p>
            <w:pPr>
              <w:pStyle w:val="style0"/>
              <w:jc w:val="center"/>
              <w:rPr/>
            </w:pPr>
            <w:r>
              <w:t>Μ</w:t>
            </w:r>
          </w:p>
        </w:tc>
        <w:tc>
          <w:tcPr>
            <w:tcW w:w="3317" w:type="dxa"/>
            <w:tcBorders/>
          </w:tcPr>
          <w:p>
            <w:pPr>
              <w:pStyle w:val="style0"/>
              <w:jc w:val="center"/>
              <w:rPr>
                <w:lang w:val="en-US"/>
              </w:rPr>
            </w:pPr>
            <w:r>
              <w:rPr>
                <w:lang w:val="en-US"/>
              </w:rPr>
              <w:t>(L</w:t>
            </w:r>
            <w:r>
              <w:rPr>
                <w:vertAlign w:val="subscript"/>
                <w:lang w:val="en-US"/>
              </w:rPr>
              <w:t>1</w:t>
            </w:r>
            <w:r>
              <w:rPr>
                <w:lang w:val="en-US"/>
              </w:rPr>
              <w:t>/2, L</w:t>
            </w:r>
            <w:r>
              <w:rPr>
                <w:vertAlign w:val="subscript"/>
                <w:lang w:val="en-US"/>
              </w:rPr>
              <w:t>1</w:t>
            </w:r>
            <w:r>
              <w:rPr>
                <w:lang w:val="en-US"/>
              </w:rPr>
              <w:t>/2)</w:t>
            </w:r>
          </w:p>
        </w:tc>
      </w:tr>
      <w:tr>
        <w:tblPrEx/>
        <w:trPr/>
        <w:tc>
          <w:tcPr>
            <w:tcW w:w="1543" w:type="dxa"/>
            <w:tcBorders/>
          </w:tcPr>
          <w:p>
            <w:pPr>
              <w:pStyle w:val="style0"/>
              <w:jc w:val="center"/>
              <w:rPr/>
            </w:pPr>
            <w:r>
              <w:t>Υ</w:t>
            </w:r>
          </w:p>
        </w:tc>
        <w:tc>
          <w:tcPr>
            <w:tcW w:w="3317" w:type="dxa"/>
            <w:tcBorders/>
          </w:tcPr>
          <w:p>
            <w:pPr>
              <w:pStyle w:val="style0"/>
              <w:jc w:val="center"/>
              <w:rPr>
                <w:lang w:val="en-US"/>
              </w:rPr>
            </w:pPr>
            <w:r>
              <w:rPr>
                <w:lang w:val="en-US"/>
              </w:rPr>
              <w:t>(0, L</w:t>
            </w:r>
            <w:r>
              <w:rPr>
                <w:vertAlign w:val="subscript"/>
                <w:lang w:val="en-US"/>
              </w:rPr>
              <w:t>1</w:t>
            </w:r>
            <w:r>
              <w:rPr>
                <w:lang w:val="en-US"/>
              </w:rPr>
              <w:t>/2)</w:t>
            </w:r>
          </w:p>
        </w:tc>
      </w:tr>
    </w:tbl>
    <w:p>
      <w:pPr>
        <w:pStyle w:val="style0"/>
        <w:rPr/>
      </w:pPr>
    </w:p>
    <w:p>
      <w:pPr>
        <w:pStyle w:val="style0"/>
        <w:rPr/>
      </w:pPr>
      <w:r>
        <w:t xml:space="preserve">Λόγω της χρήσεως της </w:t>
      </w:r>
      <w:r>
        <w:rPr>
          <w:lang w:val="en-US"/>
        </w:rPr>
        <w:t>IBZ</w:t>
      </w:r>
      <w:r>
        <w:t xml:space="preserve"> για να διευκολυνθούμε στους υπολογισμούς, πρέπει να αναφερθεί πως στα διαγράμματα συχνοτήτων που ακολουθούν στην εργασία, η μεταβλητή </w:t>
      </w:r>
      <w:r>
        <w:rPr>
          <w:lang w:val="en-US"/>
        </w:rPr>
        <w:t>k</w:t>
      </w:r>
      <w:r>
        <w:t xml:space="preserve"> παίρνει τιμές από 0 μέχρι και 4. Αυτές οι τιμές αντιστοιχούν στα σημεία Γ-Χ-Μ-Υ-Γ και σε όλα τα σημεία πάνω στις ακμές του τετραγώνου που δημιουργείται.</w:t>
      </w:r>
      <w:r>
        <w:t xml:space="preserve"> </w:t>
      </w:r>
      <w:r>
        <w:t>[1],[9]</w:t>
      </w:r>
      <w:r>
        <w:t>,[15]</w:t>
      </w:r>
      <w:r>
        <w:br w:type="page"/>
      </w:r>
    </w:p>
    <w:bookmarkStart w:id="26" w:name="_Toc77270433"/>
    <w:p>
      <w:pPr>
        <w:pStyle w:val="style2"/>
        <w:rPr/>
      </w:pPr>
      <w:r>
        <w:t>Εφαρμογή στο μοντέλο</w:t>
      </w:r>
      <w:bookmarkEnd w:id="26"/>
    </w:p>
    <w:p>
      <w:pPr>
        <w:pStyle w:val="style0"/>
        <w:rPr/>
      </w:pPr>
    </w:p>
    <w:p>
      <w:pPr>
        <w:pStyle w:val="style0"/>
        <w:rPr/>
      </w:pPr>
      <w:r>
        <w:t xml:space="preserve">Ειδικότερα, η μετατόπιση </w:t>
      </w:r>
      <w:r>
        <w:rPr>
          <w:lang w:val="en-US"/>
        </w:rPr>
        <w:t>q</w:t>
      </w:r>
      <w:r>
        <w:t>(</w:t>
      </w:r>
      <w:r>
        <w:rPr>
          <w:lang w:val="en-US"/>
        </w:rPr>
        <w:t>r</w:t>
      </w:r>
      <w:r>
        <w:rPr>
          <w:vertAlign w:val="subscript"/>
          <w:lang w:val="en-US"/>
        </w:rPr>
        <w:t>j</w:t>
      </w:r>
      <w:r>
        <w:t xml:space="preserve">) </w:t>
      </w:r>
      <w:r>
        <w:t>των στοιχείων του πλέγματος ορίζεται ως:</w:t>
      </w:r>
    </w:p>
    <w:p>
      <w:pPr>
        <w:pStyle w:val="style0"/>
        <w:jc w:val="center"/>
        <w:rPr>
          <w:rFonts w:eastAsia="宋体"/>
        </w:rPr>
      </w:pPr>
      <m:oMath>
        <m:r>
          <w:rPr>
            <w:rFonts w:ascii="Cambria Math" w:hAnsi="Cambria Math"/>
          </w:rPr>
          <m:t>q</m:t>
        </m:r>
        <m:d>
          <m:dPr>
            <m:endChr m:val=")"/>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j</m:t>
                </m:r>
              </m:sub>
            </m:sSub>
          </m:e>
        </m:d>
        <m: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j</m:t>
            </m:r>
          </m:sub>
        </m:sSub>
        <m:sSup>
          <m:sSupPr>
            <m:ctrlPr>
              <w:rPr>
                <w:rFonts w:ascii="Cambria Math" w:hAnsi="Cambria Math"/>
              </w:rPr>
            </m:ctrlPr>
          </m:sSupPr>
          <m:e>
            <m:r>
              <w:rPr>
                <w:rFonts w:ascii="Cambria Math" w:hAnsi="Cambria Math"/>
              </w:rPr>
              <m:t>e</m:t>
            </m:r>
          </m:e>
          <m:sup>
            <m:d>
              <m:dPr>
                <m:endChr m:val=")"/>
                <m:ctrlPr>
                  <w:rPr>
                    <w:rFonts w:ascii="Cambria Math" w:hAnsi="Cambria Math"/>
                  </w:rPr>
                </m:ctrlPr>
              </m:dPr>
              <m:e>
                <m:r>
                  <w:rPr>
                    <w:rFonts w:ascii="Cambria Math" w:hAnsi="Cambria Math"/>
                  </w:rPr>
                  <m:t>iωt-k</m:t>
                </m:r>
                <m:sSub>
                  <m:sSubPr>
                    <m:ctrlPr>
                      <w:rPr>
                        <w:rFonts w:ascii="Cambria Math" w:hAnsi="Cambria Math"/>
                      </w:rPr>
                    </m:ctrlPr>
                  </m:sSubPr>
                  <m:e>
                    <m:r>
                      <w:rPr>
                        <w:rFonts w:ascii="Cambria Math" w:hAnsi="Cambria Math"/>
                      </w:rPr>
                      <m:t>r</m:t>
                    </m:r>
                  </m:e>
                  <m:sub>
                    <m:r>
                      <w:rPr>
                        <w:rFonts w:ascii="Cambria Math" w:hAnsi="Cambria Math"/>
                      </w:rPr>
                      <m:t>j</m:t>
                    </m:r>
                  </m:sub>
                </m:sSub>
              </m:e>
            </m:d>
          </m:sup>
        </m:sSup>
      </m:oMath>
      <w:r>
        <w:rPr>
          <w:rFonts w:eastAsia="宋体"/>
        </w:rPr>
        <w:tab/>
      </w:r>
      <w:r>
        <w:rPr>
          <w:rFonts w:eastAsia="宋体"/>
        </w:rPr>
        <w:t>(13)</w:t>
      </w:r>
    </w:p>
    <w:p>
      <w:pPr>
        <w:pStyle w:val="style0"/>
        <w:rPr>
          <w:rFonts w:eastAsia="宋体"/>
        </w:rPr>
      </w:pPr>
      <w:r>
        <w:rPr>
          <w:rFonts w:eastAsia="宋体"/>
        </w:rPr>
        <w:t xml:space="preserve">Με </w:t>
      </w:r>
      <w:r>
        <w:rPr>
          <w:rFonts w:eastAsia="宋体"/>
          <w:lang w:val="en-US"/>
        </w:rPr>
        <w:t>q</w:t>
      </w:r>
      <w:r>
        <w:rPr>
          <w:rFonts w:eastAsia="宋体"/>
          <w:vertAlign w:val="subscript"/>
          <w:lang w:val="en-US"/>
        </w:rPr>
        <w:t>j</w:t>
      </w:r>
      <w:r>
        <w:rPr>
          <w:rFonts w:eastAsia="宋体"/>
        </w:rPr>
        <w:t xml:space="preserve"> το πλάτος, ω την συχνότητα και </w:t>
      </w:r>
      <w:r>
        <w:rPr>
          <w:rFonts w:eastAsia="宋体"/>
          <w:lang w:val="en-US"/>
        </w:rPr>
        <w:t>k</w:t>
      </w:r>
      <w:r>
        <w:rPr>
          <w:rFonts w:eastAsia="宋体"/>
        </w:rPr>
        <w:t xml:space="preserve"> </w:t>
      </w:r>
      <w:r>
        <w:rPr>
          <w:rFonts w:eastAsia="宋体"/>
        </w:rPr>
        <w:t>το διάνυσμα κύματος.</w:t>
      </w:r>
    </w:p>
    <w:p>
      <w:pPr>
        <w:pStyle w:val="style0"/>
        <w:rPr/>
      </w:pPr>
      <w:r>
        <w:rPr>
          <w:rFonts w:eastAsia="宋体"/>
        </w:rPr>
        <w:t xml:space="preserve">Βάσει του θεωρήματος </w:t>
      </w:r>
      <w:r>
        <w:rPr>
          <w:rFonts w:eastAsia="宋体"/>
          <w:lang w:val="en-US"/>
        </w:rPr>
        <w:t>Bloch</w:t>
      </w:r>
      <w:r>
        <w:rPr>
          <w:rFonts w:eastAsia="宋体"/>
        </w:rPr>
        <w:t xml:space="preserve"> υπάρχουν 2 παράμετροι </w:t>
      </w:r>
      <w:r>
        <w:rPr>
          <w:rFonts w:eastAsia="宋体"/>
          <w:lang w:val="en-US"/>
        </w:rPr>
        <w:t>n</w:t>
      </w:r>
      <w:r>
        <w:rPr>
          <w:rFonts w:eastAsia="宋体"/>
          <w:vertAlign w:val="subscript"/>
        </w:rPr>
        <w:t>1</w:t>
      </w:r>
      <w:r>
        <w:rPr>
          <w:rFonts w:eastAsia="宋体"/>
        </w:rPr>
        <w:t xml:space="preserve"> </w:t>
      </w:r>
      <w:r>
        <w:rPr>
          <w:rFonts w:eastAsia="宋体"/>
        </w:rPr>
        <w:t xml:space="preserve">και </w:t>
      </w:r>
      <w:r>
        <w:rPr>
          <w:rFonts w:eastAsia="宋体"/>
          <w:lang w:val="en-US"/>
        </w:rPr>
        <w:t>n</w:t>
      </w:r>
      <w:r>
        <w:rPr>
          <w:rFonts w:eastAsia="宋体"/>
          <w:vertAlign w:val="subscript"/>
        </w:rPr>
        <w:t>2</w:t>
      </w:r>
      <w:r>
        <w:rPr>
          <w:rFonts w:eastAsia="宋体"/>
        </w:rPr>
        <w:t xml:space="preserve"> , </w:t>
      </w:r>
      <w:r>
        <w:rPr>
          <w:rFonts w:eastAsia="宋体"/>
        </w:rPr>
        <w:t xml:space="preserve">που μπορούν να χρησιμοποιηθούν για την αναγνώριση έκαστου κελιού, ώστε η μετατόπιση ενός σημείου να βρίσκεται από ένα μοναδικό συνδυασμό των </w:t>
      </w:r>
      <w:r>
        <w:rPr>
          <w:rFonts w:eastAsia="宋体"/>
          <w:lang w:val="en-US"/>
        </w:rPr>
        <w:t>n</w:t>
      </w:r>
      <w:r>
        <w:rPr>
          <w:rFonts w:eastAsia="宋体"/>
          <w:vertAlign w:val="subscript"/>
        </w:rPr>
        <w:t>1</w:t>
      </w:r>
      <w:r>
        <w:rPr>
          <w:rFonts w:eastAsia="宋体"/>
          <w:vertAlign w:val="subscript"/>
        </w:rPr>
        <w:t xml:space="preserve"> </w:t>
      </w:r>
      <w:r>
        <w:t xml:space="preserve">και </w:t>
      </w:r>
      <w:r>
        <w:rPr>
          <w:lang w:val="en-US"/>
        </w:rPr>
        <w:t>n</w:t>
      </w:r>
      <w:r>
        <w:rPr>
          <w:vertAlign w:val="subscript"/>
        </w:rPr>
        <w:t>2</w:t>
      </w:r>
      <w:r>
        <w:t xml:space="preserve"> </w:t>
      </w:r>
      <w:r>
        <w:t>όπως:</w:t>
      </w:r>
    </w:p>
    <w:p>
      <w:pPr>
        <w:pStyle w:val="style0"/>
        <w:jc w:val="center"/>
        <w:rPr>
          <w:rFonts w:eastAsia="宋体"/>
        </w:rPr>
      </w:pPr>
      <m:oMath>
        <m:r>
          <w:rPr>
            <w:rFonts w:ascii="Cambria Math" w:hAnsi="Cambria Math"/>
          </w:rPr>
          <m:t>q=q</m:t>
        </m:r>
        <m:d>
          <m:dPr>
            <m:endChr m:val=")"/>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j</m:t>
                </m:r>
              </m:sub>
            </m:sSub>
          </m:e>
        </m:d>
        <m:sSup>
          <m:sSupPr>
            <m:ctrlPr>
              <w:rPr>
                <w:rFonts w:ascii="Cambria Math" w:hAnsi="Cambria Math"/>
              </w:rPr>
            </m:ctrlPr>
          </m:sSupPr>
          <m:e>
            <m:r>
              <w:rPr>
                <w:rFonts w:ascii="Cambria Math" w:hAnsi="Cambria Math"/>
              </w:rPr>
              <m:t>e</m:t>
            </m:r>
          </m:e>
          <m:sup>
            <m:r>
              <w:rPr>
                <w:rFonts w:ascii="Cambria Math" w:hAnsi="Cambria Math"/>
              </w:rPr>
              <m:t>k</m:t>
            </m:r>
            <m:d>
              <m:dPr>
                <m:endChr m:val=")"/>
                <m:ctrlPr>
                  <w:rPr>
                    <w:rFonts w:ascii="Cambria Math" w:hAnsi="Cambria Math"/>
                  </w:rPr>
                </m:ctrlPr>
              </m:dPr>
              <m:e>
                <m:r>
                  <w:rPr>
                    <w:rFonts w:ascii="Cambria Math" w:hAnsi="Cambria Math"/>
                  </w:rPr>
                  <m:t>r-</m:t>
                </m:r>
                <m:sSub>
                  <m:sSubPr>
                    <m:ctrlPr>
                      <w:rPr>
                        <w:rFonts w:ascii="Cambria Math" w:hAnsi="Cambria Math"/>
                      </w:rPr>
                    </m:ctrlPr>
                  </m:sSubPr>
                  <m:e>
                    <m:r>
                      <w:rPr>
                        <w:rFonts w:ascii="Cambria Math" w:hAnsi="Cambria Math"/>
                      </w:rPr>
                      <m:t>r</m:t>
                    </m:r>
                  </m:e>
                  <m:sub>
                    <m:r>
                      <w:rPr>
                        <w:rFonts w:ascii="Cambria Math" w:hAnsi="Cambria Math"/>
                      </w:rPr>
                      <m:t>j</m:t>
                    </m:r>
                  </m:sub>
                </m:sSub>
              </m:e>
            </m:d>
          </m:sup>
        </m:sSup>
        <m:r>
          <w:rPr>
            <w:rFonts w:ascii="Cambria Math" w:hAnsi="Cambria Math"/>
          </w:rPr>
          <m:t>=q</m:t>
        </m:r>
        <m:d>
          <m:dPr>
            <m:endChr m:val=")"/>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j</m:t>
                </m:r>
              </m:sub>
            </m:sSub>
          </m:e>
        </m:d>
        <m:sSup>
          <m:sSupPr>
            <m:ctrlPr>
              <w:rPr>
                <w:rFonts w:ascii="Cambria Math" w:hAnsi="Cambria Math"/>
              </w:rPr>
            </m:ctrlPr>
          </m:sSupPr>
          <m:e>
            <m:r>
              <w:rPr>
                <w:rFonts w:ascii="Cambria Math" w:hAnsi="Cambria Math"/>
              </w:rPr>
              <m:t>e</m:t>
            </m:r>
          </m:e>
          <m:sup>
            <m:d>
              <m:dPr>
                <m:endChr m:val=")"/>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1</m:t>
                    </m:r>
                  </m:sub>
                </m:sSub>
                <m:sSub>
                  <m:sSubPr>
                    <m:ctrlPr>
                      <w:rPr>
                        <w:rFonts w:ascii="Cambria Math" w:hAnsi="Cambria Math"/>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2</m:t>
                    </m:r>
                  </m:sub>
                </m:sSub>
                <m:sSub>
                  <m:sSubPr>
                    <m:ctrlPr>
                      <w:rPr>
                        <w:rFonts w:ascii="Cambria Math" w:hAnsi="Cambria Math"/>
                      </w:rPr>
                    </m:ctrlPr>
                  </m:sSubPr>
                  <m:e>
                    <m:r>
                      <w:rPr>
                        <w:rFonts w:ascii="Cambria Math" w:hAnsi="Cambria Math"/>
                      </w:rPr>
                      <m:t>n</m:t>
                    </m:r>
                  </m:e>
                  <m:sub>
                    <m:r>
                      <w:rPr>
                        <w:rFonts w:ascii="Cambria Math" w:hAnsi="Cambria Math"/>
                      </w:rPr>
                      <m:t>2</m:t>
                    </m:r>
                  </m:sub>
                </m:sSub>
              </m:e>
            </m:d>
          </m:sup>
        </m:sSup>
      </m:oMath>
      <w:r>
        <w:rPr>
          <w:rFonts w:eastAsia="宋体"/>
        </w:rPr>
        <w:tab/>
      </w:r>
      <w:r>
        <w:rPr>
          <w:rFonts w:eastAsia="宋体"/>
        </w:rPr>
        <w:t>(14)</w:t>
      </w:r>
    </w:p>
    <w:p>
      <w:pPr>
        <w:pStyle w:val="style0"/>
        <w:rPr/>
      </w:pPr>
      <w:r>
        <w:rPr>
          <w:rFonts w:eastAsia="宋体"/>
        </w:rPr>
        <w:t xml:space="preserve">Με </w:t>
      </w:r>
      <m:oMath>
        <m:sSub>
          <m:sSubPr>
            <m:ctrlPr>
              <w:rPr>
                <w:rFonts w:ascii="Cambria Math" w:hAnsi="Cambria Math"/>
              </w:rPr>
            </m:ctrlPr>
          </m:sSubPr>
          <m:e>
            <m:r>
              <w:rPr>
                <w:rFonts w:ascii="Cambria Math" w:hAnsi="Cambria Math"/>
              </w:rPr>
              <m:t>k</m:t>
            </m:r>
          </m:e>
          <m:sub>
            <m:r>
              <w:rPr>
                <w:rFonts w:ascii="Cambria Math" w:hAnsi="Cambria Math"/>
              </w:rPr>
              <m:t>1</m:t>
            </m:r>
          </m:sub>
        </m:sSub>
        <m:r>
          <w:rPr>
            <w:rFonts w:ascii="Cambria Math" w:hAnsi="Cambria Math"/>
          </w:rPr>
          <m:t>=k</m:t>
        </m:r>
        <m:sSub>
          <m:sSubPr>
            <m:ctrlPr>
              <w:rPr>
                <w:rFonts w:ascii="Cambria Math" w:hAnsi="Cambria Math"/>
              </w:rPr>
            </m:ctrlPr>
          </m:sSubPr>
          <m:e>
            <m:r>
              <w:rPr>
                <w:rFonts w:ascii="Cambria Math" w:hAnsi="Cambria Math"/>
              </w:rPr>
              <m:t>e</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1</m:t>
            </m:r>
          </m:sub>
        </m:sSub>
        <m:r>
          <w:rPr>
            <w:rFonts w:ascii="Cambria Math" w:hAnsi="Cambria Math"/>
          </w:rPr>
          <m:t>+i</m:t>
        </m:r>
        <m:sSub>
          <m:sSubPr>
            <m:ctrlPr>
              <w:rPr>
                <w:rFonts w:ascii="Cambria Math" w:hAnsi="Cambria Math"/>
              </w:rPr>
            </m:ctrlPr>
          </m:sSubPr>
          <m:e>
            <m:r>
              <w:rPr>
                <w:rFonts w:ascii="Cambria Math" w:hAnsi="Cambria Math"/>
              </w:rPr>
              <m:t>ε</m:t>
            </m:r>
          </m:e>
          <m:sub>
            <m:r>
              <w:rPr>
                <w:rFonts w:ascii="Cambria Math" w:hAnsi="Cambria Math"/>
              </w:rPr>
              <m:t>1</m:t>
            </m:r>
          </m:sub>
        </m:sSub>
      </m:oMath>
      <w:r>
        <w:rPr>
          <w:rFonts w:eastAsia="宋体"/>
        </w:rPr>
        <w:t xml:space="preserve">, </w:t>
      </w:r>
      <m:oMath>
        <m:sSub>
          <m:sSubPr>
            <m:ctrlPr>
              <w:rPr>
                <w:rFonts w:ascii="Cambria Math" w:eastAsia="宋体" w:hAnsi="Cambria Math"/>
              </w:rPr>
            </m:ctrlPr>
          </m:sSubPr>
          <m:e>
            <m:r>
              <w:rPr>
                <w:rFonts w:ascii="Cambria Math" w:eastAsia="宋体" w:hAnsi="Cambria Math"/>
              </w:rPr>
              <m:t>k</m:t>
            </m:r>
          </m:e>
          <m:sub>
            <m:r>
              <w:rPr>
                <w:rFonts w:ascii="Cambria Math" w:eastAsia="宋体" w:hAnsi="Cambria Math"/>
              </w:rPr>
              <m:t>2</m:t>
            </m:r>
          </m:sub>
        </m:sSub>
        <m:r>
          <w:rPr>
            <w:rFonts w:ascii="Cambria Math" w:eastAsia="宋体" w:hAnsi="Cambria Math"/>
          </w:rPr>
          <m:t>=k</m:t>
        </m:r>
        <m:sSub>
          <m:sSubPr>
            <m:ctrlPr>
              <w:rPr>
                <w:rFonts w:ascii="Cambria Math" w:eastAsia="宋体" w:hAnsi="Cambria Math"/>
              </w:rPr>
            </m:ctrlPr>
          </m:sSubPr>
          <m:e>
            <m:r>
              <w:rPr>
                <w:rFonts w:ascii="Cambria Math" w:eastAsia="宋体" w:hAnsi="Cambria Math"/>
              </w:rPr>
              <m:t>e</m:t>
            </m:r>
          </m:e>
          <m:sub>
            <m:r>
              <w:rPr>
                <w:rFonts w:ascii="Cambria Math" w:eastAsia="宋体" w:hAnsi="Cambria Math"/>
              </w:rPr>
              <m:t>2</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δ</m:t>
            </m:r>
          </m:e>
          <m:sub>
            <m:r>
              <w:rPr>
                <w:rFonts w:ascii="Cambria Math" w:eastAsia="宋体" w:hAnsi="Cambria Math"/>
              </w:rPr>
              <m:t>2</m:t>
            </m:r>
          </m:sub>
        </m:sSub>
        <m:r>
          <w:rPr>
            <w:rFonts w:ascii="Cambria Math" w:eastAsia="宋体" w:hAnsi="Cambria Math"/>
          </w:rPr>
          <m:t>+i</m:t>
        </m:r>
        <m:sSub>
          <m:sSubPr>
            <m:ctrlPr>
              <w:rPr>
                <w:rFonts w:ascii="Cambria Math" w:eastAsia="宋体" w:hAnsi="Cambria Math"/>
              </w:rPr>
            </m:ctrlPr>
          </m:sSubPr>
          <m:e>
            <m:r>
              <w:rPr>
                <w:rFonts w:ascii="Cambria Math" w:eastAsia="宋体" w:hAnsi="Cambria Math"/>
              </w:rPr>
              <m:t>ε</m:t>
            </m:r>
          </m:e>
          <m:sub>
            <m:r>
              <w:rPr>
                <w:rFonts w:ascii="Cambria Math" w:eastAsia="宋体" w:hAnsi="Cambria Math"/>
              </w:rPr>
              <m:t>2</m:t>
            </m:r>
          </m:sub>
        </m:sSub>
      </m:oMath>
      <w:r>
        <w:rPr>
          <w:rFonts w:eastAsia="宋体"/>
        </w:rPr>
        <w:t xml:space="preserve"> όπου δ</w:t>
      </w:r>
      <w:r>
        <w:rPr>
          <w:rFonts w:eastAsia="宋体"/>
          <w:vertAlign w:val="subscript"/>
        </w:rPr>
        <w:t>1</w:t>
      </w:r>
      <w:r>
        <w:rPr>
          <w:rFonts w:eastAsia="宋体"/>
        </w:rPr>
        <w:t>,</w:t>
      </w:r>
      <w:r>
        <w:rPr>
          <w:rFonts w:eastAsia="宋体"/>
          <w:vertAlign w:val="subscript"/>
        </w:rPr>
        <w:t xml:space="preserve"> </w:t>
      </w:r>
      <w:r>
        <w:t>δ</w:t>
      </w:r>
      <w:r>
        <w:rPr>
          <w:vertAlign w:val="subscript"/>
        </w:rPr>
        <w:t>2</w:t>
      </w:r>
      <w:r>
        <w:t xml:space="preserve"> η σταθερά απόσβεσης και ε</w:t>
      </w:r>
      <w:r>
        <w:rPr>
          <w:vertAlign w:val="subscript"/>
        </w:rPr>
        <w:t>1</w:t>
      </w:r>
      <w:r>
        <w:t>, ε</w:t>
      </w:r>
      <w:r>
        <w:rPr>
          <w:vertAlign w:val="subscript"/>
        </w:rPr>
        <w:t>2</w:t>
      </w:r>
      <w:r>
        <w:t xml:space="preserve"> η σταθερά φάσης.</w:t>
      </w:r>
    </w:p>
    <w:p>
      <w:pPr>
        <w:pStyle w:val="style0"/>
        <w:rPr/>
      </w:pPr>
      <w:r>
        <w:t xml:space="preserve">Η επόμενη εικόνα παρουσιάζει τους βαθμούς ελευθερίας </w:t>
      </w:r>
      <w:r>
        <w:rPr>
          <w:lang w:val="en-US"/>
        </w:rPr>
        <w:t>q</w:t>
      </w:r>
      <w:r>
        <w:t xml:space="preserve"> </w:t>
      </w:r>
      <w:r>
        <w:t xml:space="preserve">ενός ορθογωνίου τμήματος με ακμές </w:t>
      </w:r>
      <w:r>
        <w:rPr>
          <w:lang w:val="en-US"/>
        </w:rPr>
        <w:t>L</w:t>
      </w:r>
      <w:r>
        <w:rPr>
          <w:vertAlign w:val="subscript"/>
          <w:lang w:val="en-US"/>
        </w:rPr>
        <w:t>x</w:t>
      </w:r>
      <w:r>
        <w:t xml:space="preserve">, </w:t>
      </w:r>
      <w:r>
        <w:rPr>
          <w:lang w:val="en-US"/>
        </w:rPr>
        <w:t>L</w:t>
      </w:r>
      <w:r>
        <w:rPr>
          <w:vertAlign w:val="subscript"/>
          <w:lang w:val="en-US"/>
        </w:rPr>
        <w:t>y</w:t>
      </w:r>
      <w:r>
        <w:t xml:space="preserve"> όπου ισχύει:</w:t>
      </w:r>
    </w:p>
    <w:p>
      <w:pPr>
        <w:pStyle w:val="style0"/>
        <w:jc w:val="center"/>
        <w:rPr>
          <w:rFonts w:eastAsia="宋体"/>
        </w:rPr>
      </w:pPr>
      <m:oMath>
        <m:r>
          <w:rPr>
            <w:rFonts w:ascii="Cambria Math" w:hAnsi="Cambria Math"/>
          </w:rPr>
          <m:t>q=</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q</m:t>
                </m:r>
              </m:e>
              <m:sub>
                <m:r>
                  <w:rPr>
                    <w:rFonts w:ascii="Cambria Math" w:hAnsi="Cambria Math"/>
                  </w:rPr>
                  <m:t>1</m:t>
                </m:r>
              </m:sub>
              <m:sup>
                <m:r>
                  <w:rPr>
                    <w:rFonts w:ascii="Cambria Math" w:hAnsi="Cambria Math"/>
                  </w:rPr>
                  <m:t>T</m:t>
                </m:r>
              </m:sup>
            </m:sSubSup>
            <m:sSubSup>
              <m:sSubSupPr>
                <m:ctrlPr>
                  <w:rPr>
                    <w:rFonts w:ascii="Cambria Math" w:hAnsi="Cambria Math"/>
                  </w:rPr>
                </m:ctrlPr>
              </m:sSubSupPr>
              <m:e>
                <m:r>
                  <w:rPr>
                    <w:rFonts w:ascii="Cambria Math" w:hAnsi="Cambria Math"/>
                  </w:rPr>
                  <m:t>q</m:t>
                </m:r>
              </m:e>
              <m:sub>
                <m:r>
                  <w:rPr>
                    <w:rFonts w:ascii="Cambria Math" w:hAnsi="Cambria Math"/>
                  </w:rPr>
                  <m:t>2</m:t>
                </m:r>
              </m:sub>
              <m:sup>
                <m:r>
                  <w:rPr>
                    <w:rFonts w:ascii="Cambria Math" w:hAnsi="Cambria Math"/>
                  </w:rPr>
                  <m:t>T</m:t>
                </m:r>
              </m:sup>
            </m:sSubSup>
            <m:sSubSup>
              <m:sSubSupPr>
                <m:ctrlPr>
                  <w:rPr>
                    <w:rFonts w:ascii="Cambria Math" w:hAnsi="Cambria Math"/>
                  </w:rPr>
                </m:ctrlPr>
              </m:sSubSupPr>
              <m:e>
                <m:r>
                  <w:rPr>
                    <w:rFonts w:ascii="Cambria Math" w:hAnsi="Cambria Math"/>
                  </w:rPr>
                  <m:t>q</m:t>
                </m:r>
              </m:e>
              <m:sub>
                <m:r>
                  <w:rPr>
                    <w:rFonts w:ascii="Cambria Math" w:hAnsi="Cambria Math"/>
                  </w:rPr>
                  <m:t>3</m:t>
                </m:r>
              </m:sub>
              <m:sup>
                <m:r>
                  <w:rPr>
                    <w:rFonts w:ascii="Cambria Math" w:hAnsi="Cambria Math"/>
                  </w:rPr>
                  <m:t>T</m:t>
                </m:r>
              </m:sup>
            </m:sSubSup>
            <m:sSubSup>
              <m:sSubSupPr>
                <m:ctrlPr>
                  <w:rPr>
                    <w:rFonts w:ascii="Cambria Math" w:hAnsi="Cambria Math"/>
                  </w:rPr>
                </m:ctrlPr>
              </m:sSubSupPr>
              <m:e>
                <m:r>
                  <w:rPr>
                    <w:rFonts w:ascii="Cambria Math" w:hAnsi="Cambria Math"/>
                  </w:rPr>
                  <m:t>q</m:t>
                </m:r>
              </m:e>
              <m:sub>
                <m:r>
                  <w:rPr>
                    <w:rFonts w:ascii="Cambria Math" w:hAnsi="Cambria Math"/>
                  </w:rPr>
                  <m:t>4</m:t>
                </m:r>
              </m:sub>
              <m:sup>
                <m:r>
                  <w:rPr>
                    <w:rFonts w:ascii="Cambria Math" w:hAnsi="Cambria Math"/>
                  </w:rPr>
                  <m:t>T</m:t>
                </m:r>
              </m:sup>
            </m:sSubSup>
          </m:e>
        </m:d>
      </m:oMath>
      <w:r>
        <w:rPr>
          <w:rFonts w:eastAsia="宋体"/>
        </w:rPr>
        <w:tab/>
      </w:r>
      <w:r>
        <w:rPr>
          <w:rFonts w:eastAsia="宋体"/>
        </w:rPr>
        <w:t>(15)</w:t>
      </w:r>
    </w:p>
    <w:p>
      <w:pPr>
        <w:pStyle w:val="style0"/>
        <w:rPr>
          <w:rFonts w:eastAsia="宋体"/>
        </w:rPr>
      </w:pPr>
      <w:r>
        <w:rPr>
          <w:rFonts w:eastAsia="宋体"/>
        </w:rPr>
        <w:t xml:space="preserve">Με </w:t>
      </w:r>
      <w:r>
        <w:rPr>
          <w:rFonts w:eastAsia="宋体"/>
          <w:lang w:val="en-US"/>
        </w:rPr>
        <w:t>q</w:t>
      </w:r>
      <w:r>
        <w:rPr>
          <w:rFonts w:eastAsia="宋体"/>
          <w:vertAlign w:val="subscript"/>
          <w:lang w:val="en-US"/>
        </w:rPr>
        <w:t>j</w:t>
      </w:r>
      <w:r>
        <w:rPr>
          <w:rFonts w:eastAsia="宋体"/>
        </w:rPr>
        <w:t xml:space="preserve"> τους κομβικούς βαθμούς ελευθερίας.</w:t>
      </w:r>
    </w:p>
    <w:p>
      <w:pPr>
        <w:pStyle w:val="style0"/>
        <w:keepNext/>
        <w:rPr/>
      </w:pPr>
      <w:r>
        <w:rPr>
          <w:noProof/>
        </w:rPr>
        <w:drawing>
          <wp:inline distL="0" distT="0" distB="0" distR="0">
            <wp:extent cx="4677428" cy="2762636"/>
            <wp:effectExtent l="0" t="0" r="0" b="0"/>
            <wp:docPr id="1034" name="Εικόνα 2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8" name="Εικόνα 23"/>
                    <pic:cNvPicPr/>
                  </pic:nvPicPr>
                  <pic:blipFill>
                    <a:blip r:embed="rId10" cstate="print"/>
                    <a:srcRect l="0" t="0" r="0" b="0"/>
                    <a:stretch/>
                  </pic:blipFill>
                  <pic:spPr>
                    <a:xfrm rot="0">
                      <a:off x="0" y="0"/>
                      <a:ext cx="4677428" cy="2762636"/>
                    </a:xfrm>
                    <a:prstGeom prst="rect"/>
                  </pic:spPr>
                </pic:pic>
              </a:graphicData>
            </a:graphic>
          </wp:inline>
        </w:drawing>
      </w:r>
    </w:p>
    <w:p>
      <w:pPr>
        <w:pStyle w:val="style34"/>
        <w:rPr/>
      </w:pPr>
      <w:r>
        <w:t xml:space="preserve">Εικόνα </w:t>
      </w:r>
      <w:r>
        <w:rPr/>
        <w:fldChar w:fldCharType="begin"/>
      </w:r>
      <w:r>
        <w:instrText xml:space="preserve"> SEQ Εικόνα \* ARABIC </w:instrText>
      </w:r>
      <w:r>
        <w:rPr/>
        <w:fldChar w:fldCharType="separate"/>
      </w:r>
      <w:r>
        <w:rPr>
          <w:noProof/>
        </w:rPr>
        <w:t>8</w:t>
      </w:r>
      <w:r>
        <w:rPr/>
        <w:fldChar w:fldCharType="end"/>
      </w:r>
      <w:r>
        <w:t xml:space="preserve"> Ορθογώνιο τμήμα με 4 κόμβους/πεπερασμένα στοιχεία</w:t>
      </w:r>
    </w:p>
    <w:p>
      <w:pPr>
        <w:pStyle w:val="style0"/>
        <w:rPr/>
      </w:pPr>
    </w:p>
    <w:p>
      <w:pPr>
        <w:pStyle w:val="style0"/>
        <w:rPr/>
      </w:pPr>
      <w:r>
        <w:t xml:space="preserve">Η μετάδοση κύματος σε δισδιάστατα στοιχεία μπορεί να θεωρηθεί κύμα </w:t>
      </w:r>
      <w:r>
        <w:rPr>
          <w:lang w:val="en-US"/>
        </w:rPr>
        <w:t>Bloch</w:t>
      </w:r>
      <w:r>
        <w:t>,</w:t>
      </w:r>
      <w:r>
        <w:t xml:space="preserve"> οπότε η σχέση μεταξύ των περιοδικών μετατοπίσε</w:t>
      </w:r>
      <w:r>
        <w:t>ω</w:t>
      </w:r>
      <w:r>
        <w:t xml:space="preserve">ν </w:t>
      </w:r>
      <w:r>
        <w:rPr>
          <w:lang w:val="en-US"/>
        </w:rPr>
        <w:t>q</w:t>
      </w:r>
      <w:r>
        <w:t xml:space="preserve"> </w:t>
      </w:r>
      <w:r>
        <w:t>στις ακμές του περιοδικού στοιχείου είναι:</w:t>
      </w:r>
    </w:p>
    <w:p>
      <w:pPr>
        <w:pStyle w:val="style0"/>
        <w:jc w:val="center"/>
        <w:rPr>
          <w:rFonts w:eastAsia="宋体"/>
        </w:rPr>
      </w:pPr>
      <m:oMath>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λ</m:t>
            </m:r>
          </m:e>
          <m:sub>
            <m:r>
              <w:rPr>
                <w:rFonts w:ascii="Cambria Math" w:hAnsi="Cambria Math"/>
              </w:rPr>
              <m:t>x</m:t>
            </m:r>
          </m:sub>
        </m:sSub>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 xml:space="preserve">,  </m:t>
        </m:r>
        <m:sSub>
          <m:sSubPr>
            <m:ctrlPr>
              <w:rPr>
                <w:rFonts w:ascii="Cambria Math" w:hAnsi="Cambria Math"/>
              </w:rPr>
            </m:ctrlPr>
          </m:sSubPr>
          <m:e>
            <m:r>
              <w:rPr>
                <w:rFonts w:ascii="Cambria Math" w:hAnsi="Cambria Math"/>
              </w:rPr>
              <m:t>q</m:t>
            </m:r>
          </m:e>
          <m:sub>
            <m:r>
              <w:rPr>
                <w:rFonts w:ascii="Cambria Math" w:hAnsi="Cambria Math"/>
              </w:rPr>
              <m:t>3</m:t>
            </m:r>
          </m:sub>
        </m:sSub>
        <m:r>
          <w:rPr>
            <w:rFonts w:ascii="Cambria Math" w:hAnsi="Cambria Math"/>
          </w:rPr>
          <m:t>=</m:t>
        </m:r>
        <m:sSub>
          <m:sSubPr>
            <m:ctrlPr>
              <w:rPr>
                <w:rFonts w:ascii="Cambria Math" w:hAnsi="Cambria Math"/>
              </w:rPr>
            </m:ctrlPr>
          </m:sSubPr>
          <m:e>
            <m:r>
              <w:rPr>
                <w:rFonts w:ascii="Cambria Math" w:hAnsi="Cambria Math"/>
              </w:rPr>
              <m:t>λ</m:t>
            </m:r>
          </m:e>
          <m:sub>
            <m:r>
              <w:rPr>
                <w:rFonts w:ascii="Cambria Math" w:hAnsi="Cambria Math"/>
              </w:rPr>
              <m:t>y</m:t>
            </m:r>
          </m:sub>
        </m:sSub>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 xml:space="preserve">,  </m:t>
        </m:r>
        <m:sSub>
          <m:sSubPr>
            <m:ctrlPr>
              <w:rPr>
                <w:rFonts w:ascii="Cambria Math" w:hAnsi="Cambria Math"/>
              </w:rPr>
            </m:ctrlPr>
          </m:sSubPr>
          <m:e>
            <m:r>
              <w:rPr>
                <w:rFonts w:ascii="Cambria Math" w:hAnsi="Cambria Math"/>
              </w:rPr>
              <m:t>q</m:t>
            </m:r>
          </m:e>
          <m:sub>
            <m:r>
              <w:rPr>
                <w:rFonts w:ascii="Cambria Math" w:hAnsi="Cambria Math"/>
              </w:rPr>
              <m:t>4</m:t>
            </m:r>
          </m:sub>
        </m:sSub>
        <m:r>
          <w:rPr>
            <w:rFonts w:ascii="Cambria Math" w:hAnsi="Cambria Math"/>
          </w:rPr>
          <m:t>=</m:t>
        </m:r>
        <m:sSub>
          <m:sSubPr>
            <m:ctrlPr>
              <w:rPr>
                <w:rFonts w:ascii="Cambria Math" w:hAnsi="Cambria Math"/>
              </w:rPr>
            </m:ctrlPr>
          </m:sSubPr>
          <m:e>
            <m:r>
              <w:rPr>
                <w:rFonts w:ascii="Cambria Math" w:hAnsi="Cambria Math"/>
              </w:rPr>
              <m:t>λ</m:t>
            </m:r>
          </m:e>
          <m:sub>
            <m:r>
              <w:rPr>
                <w:rFonts w:ascii="Cambria Math" w:hAnsi="Cambria Math"/>
              </w:rPr>
              <m:t>x</m:t>
            </m:r>
          </m:sub>
        </m:sSub>
        <m:sSub>
          <m:sSubPr>
            <m:ctrlPr>
              <w:rPr>
                <w:rFonts w:ascii="Cambria Math" w:hAnsi="Cambria Math"/>
              </w:rPr>
            </m:ctrlPr>
          </m:sSubPr>
          <m:e>
            <m:r>
              <w:rPr>
                <w:rFonts w:ascii="Cambria Math" w:hAnsi="Cambria Math"/>
              </w:rPr>
              <m:t>λ</m:t>
            </m:r>
          </m:e>
          <m:sub>
            <m:r>
              <w:rPr>
                <w:rFonts w:ascii="Cambria Math" w:hAnsi="Cambria Math"/>
              </w:rPr>
              <m:t>y</m:t>
            </m:r>
          </m:sub>
        </m:sSub>
        <m:sSub>
          <m:sSubPr>
            <m:ctrlPr>
              <w:rPr>
                <w:rFonts w:ascii="Cambria Math" w:hAnsi="Cambria Math"/>
              </w:rPr>
            </m:ctrlPr>
          </m:sSubPr>
          <m:e>
            <m:r>
              <w:rPr>
                <w:rFonts w:ascii="Cambria Math" w:hAnsi="Cambria Math"/>
              </w:rPr>
              <m:t>q</m:t>
            </m:r>
          </m:e>
          <m:sub>
            <m:r>
              <w:rPr>
                <w:rFonts w:ascii="Cambria Math" w:hAnsi="Cambria Math"/>
              </w:rPr>
              <m:t>1</m:t>
            </m:r>
          </m:sub>
        </m:sSub>
      </m:oMath>
      <w:r>
        <w:rPr>
          <w:rFonts w:eastAsia="宋体"/>
        </w:rPr>
        <w:t xml:space="preserve"> </w:t>
      </w:r>
      <w:r>
        <w:rPr>
          <w:rFonts w:eastAsia="宋体"/>
        </w:rPr>
        <w:t xml:space="preserve">με </w:t>
      </w:r>
      <m:oMath>
        <m:sSub>
          <m:sSubPr>
            <m:ctrlPr>
              <w:rPr>
                <w:rFonts w:ascii="Cambria Math" w:hAnsi="Cambria Math"/>
              </w:rPr>
            </m:ctrlPr>
          </m:sSubPr>
          <m:e>
            <m:r>
              <w:rPr>
                <w:rFonts w:ascii="Cambria Math" w:hAnsi="Cambria Math"/>
              </w:rPr>
              <m:t>λ</m:t>
            </m:r>
          </m:e>
          <m:sub>
            <m:r>
              <w:rPr>
                <w:rFonts w:ascii="Cambria Math" w:hAnsi="Cambria Math"/>
              </w:rPr>
              <m:t>x</m:t>
            </m:r>
          </m:sub>
        </m:sSub>
        <m: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-i</m:t>
            </m:r>
            <m:sSub>
              <m:sSubPr>
                <m:ctrlPr>
                  <w:rPr>
                    <w:rFonts w:ascii="Cambria Math" w:hAnsi="Cambria Math"/>
                  </w:rPr>
                </m:ctrlPr>
              </m:sSubPr>
              <m:e>
                <m:r>
                  <w:rPr>
                    <w:rFonts w:ascii="Cambria Math" w:hAnsi="Cambria Math"/>
                  </w:rPr>
                  <m:t>μ</m:t>
                </m:r>
              </m:e>
              <m:sub>
                <m:r>
                  <w:rPr>
                    <w:rFonts w:ascii="Cambria Math" w:hAnsi="Cambria Math"/>
                  </w:rPr>
                  <m:t>x</m:t>
                </m:r>
              </m:sub>
            </m:sSub>
          </m:sup>
        </m:sSup>
        <m:r>
          <w:rPr>
            <w:rFonts w:ascii="Cambria Math" w:hAnsi="Cambria Math"/>
          </w:rPr>
          <m:t xml:space="preserve">,  </m:t>
        </m:r>
        <m:sSub>
          <m:sSubPr>
            <m:ctrlPr>
              <w:rPr>
                <w:rFonts w:ascii="Cambria Math" w:hAnsi="Cambria Math"/>
              </w:rPr>
            </m:ctrlPr>
          </m:sSubPr>
          <m:e>
            <m:r>
              <w:rPr>
                <w:rFonts w:ascii="Cambria Math" w:hAnsi="Cambria Math"/>
              </w:rPr>
              <m:t>λ</m:t>
            </m:r>
          </m:e>
          <m:sub>
            <m:r>
              <w:rPr>
                <w:rFonts w:ascii="Cambria Math" w:hAnsi="Cambria Math"/>
              </w:rPr>
              <m:t>y</m:t>
            </m:r>
          </m:sub>
        </m:sSub>
        <m: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-i</m:t>
            </m:r>
            <m:sSub>
              <m:sSubPr>
                <m:ctrlPr>
                  <w:rPr>
                    <w:rFonts w:ascii="Cambria Math" w:hAnsi="Cambria Math"/>
                  </w:rPr>
                </m:ctrlPr>
              </m:sSubPr>
              <m:e>
                <m:r>
                  <w:rPr>
                    <w:rFonts w:ascii="Cambria Math" w:hAnsi="Cambria Math"/>
                  </w:rPr>
                  <m:t>μ</m:t>
                </m:r>
              </m:e>
              <m:sub>
                <m:r>
                  <w:rPr>
                    <w:rFonts w:ascii="Cambria Math" w:hAnsi="Cambria Math"/>
                  </w:rPr>
                  <m:t>y</m:t>
                </m:r>
              </m:sub>
            </m:sSub>
          </m:sup>
        </m:sSup>
      </m:oMath>
      <w:r>
        <w:rPr>
          <w:rFonts w:eastAsia="宋体"/>
        </w:rPr>
        <w:tab/>
      </w:r>
      <w:r>
        <w:rPr>
          <w:rFonts w:eastAsia="宋体"/>
        </w:rPr>
        <w:t>(16)</w:t>
      </w:r>
    </w:p>
    <w:p>
      <w:pPr>
        <w:pStyle w:val="style0"/>
        <w:rPr>
          <w:rFonts w:eastAsia="宋体"/>
        </w:rPr>
      </w:pPr>
      <w:r>
        <w:rPr>
          <w:rFonts w:eastAsia="宋体"/>
        </w:rPr>
        <w:t xml:space="preserve">Και οι σταθερές </w:t>
      </w:r>
      <m:oMath>
        <m:sSub>
          <m:sSubPr>
            <m:ctrlPr>
              <w:rPr>
                <w:rFonts w:ascii="Cambria Math" w:hAnsi="Cambria Math"/>
              </w:rPr>
            </m:ctrlPr>
          </m:sSubPr>
          <m:e>
            <m:r>
              <w:rPr>
                <w:rFonts w:ascii="Cambria Math" w:hAnsi="Cambria Math"/>
              </w:rPr>
              <m:t>μ</m:t>
            </m:r>
          </m:e>
          <m:sub>
            <m:r>
              <w:rPr>
                <w:rFonts w:ascii="Cambria Math" w:hAnsi="Cambria Math"/>
              </w:rPr>
              <m:t>x</m:t>
            </m:r>
          </m:sub>
        </m:sSub>
        <m:r>
          <w:rPr>
            <w:rFonts w:ascii="Cambria Math" w:hAnsi="Cambria Math"/>
          </w:rPr>
          <m:t>=</m:t>
        </m:r>
        <m:sSub>
          <m:sSubPr>
            <m:ctrlPr>
              <w:rPr>
                <w:rFonts w:ascii="Cambria Math" w:hAnsi="Cambria Math"/>
              </w:rPr>
            </m:ctrlPr>
          </m:sSubPr>
          <m:e>
            <m:r>
              <w:rPr>
                <w:rFonts w:ascii="Cambria Math" w:hAnsi="Cambria Math"/>
              </w:rPr>
              <m:t>κ</m:t>
            </m:r>
          </m:e>
          <m:sub>
            <m:r>
              <w:rPr>
                <w:rFonts w:ascii="Cambria Math" w:hAnsi="Cambria Math"/>
              </w:rPr>
              <m:t>x</m:t>
            </m:r>
          </m:sub>
        </m:sSub>
        <m:sSub>
          <m:sSubPr>
            <m:ctrlPr>
              <w:rPr>
                <w:rFonts w:ascii="Cambria Math" w:hAnsi="Cambria Math"/>
              </w:rPr>
            </m:ctrlPr>
          </m:sSubPr>
          <m:e>
            <m:r>
              <w:rPr>
                <w:rFonts w:ascii="Cambria Math" w:hAnsi="Cambria Math"/>
              </w:rPr>
              <m:t>L</m:t>
            </m:r>
          </m:e>
          <m:sub>
            <m:r>
              <w:rPr>
                <w:rFonts w:ascii="Cambria Math" w:hAnsi="Cambria Math"/>
              </w:rPr>
              <m:t>x</m:t>
            </m:r>
          </m:sub>
        </m:sSub>
        <m:r>
          <w:rPr>
            <w:rFonts w:ascii="Cambria Math" w:hAnsi="Cambria Math"/>
          </w:rPr>
          <m:t xml:space="preserve">,  </m:t>
        </m:r>
        <m:sSub>
          <m:sSubPr>
            <m:ctrlPr>
              <w:rPr>
                <w:rFonts w:ascii="Cambria Math" w:hAnsi="Cambria Math"/>
              </w:rPr>
            </m:ctrlPr>
          </m:sSubPr>
          <m:e>
            <m:r>
              <w:rPr>
                <w:rFonts w:ascii="Cambria Math" w:hAnsi="Cambria Math"/>
              </w:rPr>
              <m:t>μ</m:t>
            </m:r>
          </m:e>
          <m:sub>
            <m:r>
              <w:rPr>
                <w:rFonts w:ascii="Cambria Math" w:hAnsi="Cambria Math"/>
              </w:rPr>
              <m:t>y</m:t>
            </m:r>
          </m:sub>
        </m:sSub>
        <m:r>
          <w:rPr>
            <w:rFonts w:ascii="Cambria Math" w:hAnsi="Cambria Math"/>
          </w:rPr>
          <m:t>=</m:t>
        </m:r>
        <m:sSub>
          <m:sSubPr>
            <m:ctrlPr>
              <w:rPr>
                <w:rFonts w:ascii="Cambria Math" w:hAnsi="Cambria Math"/>
              </w:rPr>
            </m:ctrlPr>
          </m:sSubPr>
          <m:e>
            <m:r>
              <w:rPr>
                <w:rFonts w:ascii="Cambria Math" w:hAnsi="Cambria Math"/>
              </w:rPr>
              <m:t>κ</m:t>
            </m:r>
          </m:e>
          <m:sub>
            <m:r>
              <w:rPr>
                <w:rFonts w:ascii="Cambria Math" w:hAnsi="Cambria Math"/>
              </w:rPr>
              <m:t>y</m:t>
            </m:r>
          </m:sub>
        </m:sSub>
        <m:sSub>
          <m:sSubPr>
            <m:ctrlPr>
              <w:rPr>
                <w:rFonts w:ascii="Cambria Math" w:hAnsi="Cambria Math"/>
              </w:rPr>
            </m:ctrlPr>
          </m:sSubPr>
          <m:e>
            <m:r>
              <w:rPr>
                <w:rFonts w:ascii="Cambria Math" w:hAnsi="Cambria Math"/>
              </w:rPr>
              <m:t>L</m:t>
            </m:r>
          </m:e>
          <m:sub>
            <m:r>
              <w:rPr>
                <w:rFonts w:ascii="Cambria Math" w:hAnsi="Cambria Math"/>
              </w:rPr>
              <m:t>y</m:t>
            </m:r>
          </m:sub>
        </m:sSub>
      </m:oMath>
      <w:r>
        <w:rPr>
          <w:rFonts w:eastAsia="宋体"/>
        </w:rPr>
        <w:t xml:space="preserve"> </w:t>
      </w:r>
      <w:r>
        <w:rPr>
          <w:rFonts w:eastAsia="宋体"/>
        </w:rPr>
        <w:t>περιγράφουν την μετάδοση του κύματος.</w:t>
      </w:r>
    </w:p>
    <w:p>
      <w:pPr>
        <w:pStyle w:val="style0"/>
        <w:rPr>
          <w:rFonts w:eastAsia="宋体"/>
        </w:rPr>
      </w:pPr>
      <w:r>
        <w:rPr>
          <w:rFonts w:eastAsia="宋体"/>
        </w:rPr>
        <w:t>Άρα, οι κομβικοί βαθμοί ελευθερίας έχουν ως εξής:</w:t>
      </w:r>
    </w:p>
    <w:p>
      <w:pPr>
        <w:pStyle w:val="style0"/>
        <w:jc w:val="center"/>
        <w:rPr>
          <w:rFonts w:eastAsia="宋体"/>
        </w:rPr>
      </w:pPr>
      <m:oMath>
        <m:r>
          <w:rPr>
            <w:rFonts w:ascii="Cambria Math" w:hAnsi="Cambria Math"/>
          </w:rPr>
          <m:t>q=</m:t>
        </m:r>
        <m:sSub>
          <m:sSubPr>
            <m:ctrlPr>
              <w:rPr>
                <w:rFonts w:ascii="Cambria Math" w:hAnsi="Cambria Math"/>
              </w:rPr>
            </m:ctrlPr>
          </m:sSubPr>
          <m:e>
            <m:r>
              <w:rPr>
                <w:rFonts w:ascii="Cambria Math" w:hAnsi="Cambria Math"/>
              </w:rPr>
              <m:t>Λ</m:t>
            </m:r>
          </m:e>
          <m:sub>
            <m:r>
              <w:rPr>
                <w:rFonts w:ascii="Cambria Math" w:hAnsi="Cambria Math"/>
              </w:rPr>
              <m:t>R</m:t>
            </m:r>
          </m:sub>
        </m:sSub>
        <m:sSub>
          <m:sSubPr>
            <m:ctrlPr>
              <w:rPr>
                <w:rFonts w:ascii="Cambria Math" w:hAnsi="Cambria Math"/>
              </w:rPr>
            </m:ctrlPr>
          </m:sSubPr>
          <m:e>
            <m:r>
              <w:rPr>
                <w:rFonts w:ascii="Cambria Math" w:hAnsi="Cambria Math"/>
              </w:rPr>
              <m:t>q</m:t>
            </m:r>
          </m:e>
          <m:sub>
            <m:r>
              <w:rPr>
                <w:rFonts w:ascii="Cambria Math" w:hAnsi="Cambria Math"/>
              </w:rPr>
              <m:t>1</m:t>
            </m:r>
          </m:sub>
        </m:sSub>
      </m:oMath>
      <w:r>
        <w:rPr>
          <w:rFonts w:eastAsia="宋体"/>
        </w:rPr>
        <w:t xml:space="preserve"> </w:t>
      </w:r>
      <w:r>
        <w:rPr>
          <w:rFonts w:eastAsia="宋体"/>
        </w:rPr>
        <w:t xml:space="preserve">με </w:t>
      </w:r>
      <m:oMath>
        <m:sSub>
          <m:sSubPr>
            <m:ctrlPr>
              <w:rPr>
                <w:rFonts w:ascii="Cambria Math" w:hAnsi="Cambria Math"/>
              </w:rPr>
            </m:ctrlPr>
          </m:sSubPr>
          <m:e>
            <m:r>
              <w:rPr>
                <w:rFonts w:ascii="Cambria Math" w:hAnsi="Cambria Math"/>
              </w:rPr>
              <m:t>Λ</m:t>
            </m:r>
          </m:e>
          <m:sub>
            <m:r>
              <w:rPr>
                <w:rFonts w:ascii="Cambria Math" w:hAnsi="Cambria Math"/>
              </w:rPr>
              <m:t>R</m:t>
            </m:r>
          </m:sub>
        </m:sSub>
        <m:r>
          <w:rPr>
            <w:rFonts w:ascii="Cambria Math" w:hAnsi="Cambria Math"/>
          </w:rPr>
          <m:t>=</m:t>
        </m:r>
        <m:d>
          <m:dPr>
            <m:begChr m:val="["/>
            <m:endChr m:val="]"/>
            <m:ctrlPr>
              <w:rPr>
                <w:rFonts w:ascii="Cambria Math" w:hAnsi="Cambria Math"/>
              </w:rPr>
            </m:ctrlPr>
          </m:dPr>
          <m:e>
            <m:r>
              <w:rPr>
                <w:rFonts w:ascii="Cambria Math" w:hAnsi="Cambria Math"/>
              </w:rPr>
              <m:t>I</m:t>
            </m:r>
            <m:sSub>
              <m:sSubPr>
                <m:ctrlPr>
                  <w:rPr>
                    <w:rFonts w:ascii="Cambria Math" w:hAnsi="Cambria Math"/>
                  </w:rPr>
                </m:ctrlPr>
              </m:sSubPr>
              <m:e>
                <m:r>
                  <w:rPr>
                    <w:rFonts w:ascii="Cambria Math" w:hAnsi="Cambria Math"/>
                  </w:rPr>
                  <m:t>λ</m:t>
                </m:r>
              </m:e>
              <m:sub>
                <m:r>
                  <w:rPr>
                    <w:rFonts w:ascii="Cambria Math" w:hAnsi="Cambria Math"/>
                  </w:rPr>
                  <m:t>x</m:t>
                </m:r>
              </m:sub>
            </m:sSub>
            <m:r>
              <w:rPr>
                <w:rFonts w:ascii="Cambria Math" w:hAnsi="Cambria Math"/>
              </w:rPr>
              <m:t xml:space="preserve">I </m:t>
            </m:r>
            <m:sSub>
              <m:sSubPr>
                <m:ctrlPr>
                  <w:rPr>
                    <w:rFonts w:ascii="Cambria Math" w:hAnsi="Cambria Math"/>
                  </w:rPr>
                </m:ctrlPr>
              </m:sSubPr>
              <m:e>
                <m:r>
                  <w:rPr>
                    <w:rFonts w:ascii="Cambria Math" w:hAnsi="Cambria Math"/>
                  </w:rPr>
                  <m:t>λ</m:t>
                </m:r>
              </m:e>
              <m:sub>
                <m:r>
                  <w:rPr>
                    <w:rFonts w:ascii="Cambria Math" w:hAnsi="Cambria Math"/>
                  </w:rPr>
                  <m:t>y</m:t>
                </m:r>
              </m:sub>
            </m:sSub>
            <m:r>
              <w:rPr>
                <w:rFonts w:ascii="Cambria Math" w:hAnsi="Cambria Math"/>
              </w:rPr>
              <m:t xml:space="preserve">I </m:t>
            </m:r>
            <m:sSub>
              <m:sSubPr>
                <m:ctrlPr>
                  <w:rPr>
                    <w:rFonts w:ascii="Cambria Math" w:hAnsi="Cambria Math"/>
                  </w:rPr>
                </m:ctrlPr>
              </m:sSubPr>
              <m:e>
                <m:r>
                  <w:rPr>
                    <w:rFonts w:ascii="Cambria Math" w:hAnsi="Cambria Math"/>
                  </w:rPr>
                  <m:t>λ</m:t>
                </m:r>
              </m:e>
              <m:sub>
                <m:r>
                  <w:rPr>
                    <w:rFonts w:ascii="Cambria Math" w:hAnsi="Cambria Math"/>
                  </w:rPr>
                  <m:t>x</m:t>
                </m:r>
              </m:sub>
            </m:sSub>
            <m:sSub>
              <m:sSubPr>
                <m:ctrlPr>
                  <w:rPr>
                    <w:rFonts w:ascii="Cambria Math" w:hAnsi="Cambria Math"/>
                  </w:rPr>
                </m:ctrlPr>
              </m:sSubPr>
              <m:e>
                <m:r>
                  <w:rPr>
                    <w:rFonts w:ascii="Cambria Math" w:hAnsi="Cambria Math"/>
                  </w:rPr>
                  <m:t>λ</m:t>
                </m:r>
              </m:e>
              <m:sub>
                <m:r>
                  <w:rPr>
                    <w:rFonts w:ascii="Cambria Math" w:hAnsi="Cambria Math"/>
                  </w:rPr>
                  <m:t>y</m:t>
                </m:r>
              </m:sub>
            </m:sSub>
            <m:r>
              <w:rPr>
                <w:rFonts w:ascii="Cambria Math" w:hAnsi="Cambria Math"/>
              </w:rPr>
              <m:t>I</m:t>
            </m:r>
          </m:e>
        </m:d>
      </m:oMath>
      <w:r>
        <w:rPr>
          <w:rFonts w:eastAsia="宋体"/>
        </w:rPr>
        <w:tab/>
      </w:r>
      <w:r>
        <w:rPr>
          <w:rFonts w:eastAsia="宋体"/>
        </w:rPr>
        <w:t>(17)</w:t>
      </w:r>
    </w:p>
    <w:p>
      <w:pPr>
        <w:pStyle w:val="style0"/>
        <w:jc w:val="both"/>
        <w:rPr>
          <w:rFonts w:eastAsia="宋体"/>
        </w:rPr>
      </w:pPr>
      <w:r>
        <w:rPr>
          <w:rFonts w:eastAsia="宋体"/>
        </w:rPr>
        <w:t xml:space="preserve">Αντικαθιστώντας το </w:t>
      </w:r>
      <m:oMath>
        <m:r>
          <w:rPr>
            <w:rFonts w:ascii="Cambria Math" w:hAnsi="Cambria Math"/>
          </w:rPr>
          <m:t>q=</m:t>
        </m:r>
        <m:sSub>
          <m:sSubPr>
            <m:ctrlPr>
              <w:rPr>
                <w:rFonts w:ascii="Cambria Math" w:hAnsi="Cambria Math"/>
              </w:rPr>
            </m:ctrlPr>
          </m:sSubPr>
          <m:e>
            <m:r>
              <w:rPr>
                <w:rFonts w:ascii="Cambria Math" w:hAnsi="Cambria Math"/>
              </w:rPr>
              <m:t>Λ</m:t>
            </m:r>
          </m:e>
          <m:sub>
            <m:r>
              <w:rPr>
                <w:rFonts w:ascii="Cambria Math" w:hAnsi="Cambria Math"/>
              </w:rPr>
              <m:t>R</m:t>
            </m:r>
          </m:sub>
        </m:sSub>
        <m:sSub>
          <m:sSubPr>
            <m:ctrlPr>
              <w:rPr>
                <w:rFonts w:ascii="Cambria Math" w:hAnsi="Cambria Math"/>
              </w:rPr>
            </m:ctrlPr>
          </m:sSubPr>
          <m:e>
            <m:r>
              <w:rPr>
                <w:rFonts w:ascii="Cambria Math" w:hAnsi="Cambria Math"/>
              </w:rPr>
              <m:t>q</m:t>
            </m:r>
          </m:e>
          <m:sub>
            <m:r>
              <w:rPr>
                <w:rFonts w:ascii="Cambria Math" w:hAnsi="Cambria Math"/>
              </w:rPr>
              <m:t>1</m:t>
            </m:r>
          </m:sub>
        </m:sSub>
      </m:oMath>
      <w:r>
        <w:rPr>
          <w:rFonts w:eastAsia="宋体"/>
        </w:rPr>
        <w:t xml:space="preserve"> </w:t>
      </w:r>
      <w:r>
        <w:rPr>
          <w:rFonts w:eastAsia="宋体"/>
        </w:rPr>
        <w:t xml:space="preserve">στην εξίσωση κίνησης </w:t>
      </w:r>
      <m:oMath>
        <m:d>
          <m:dPr>
            <m:endChr m:val=")"/>
            <m:ctrlPr>
              <w:rPr>
                <w:rFonts w:ascii="Cambria Math" w:hAnsi="Cambria Math"/>
              </w:rPr>
            </m:ctrlPr>
          </m:dPr>
          <m:e>
            <m:r>
              <w:rPr>
                <w:rFonts w:ascii="Cambria Math" w:hAnsi="Cambria Math"/>
              </w:rPr>
              <m:t>-</m:t>
            </m:r>
            <m:sSup>
              <m:sSupPr>
                <m:ctrlPr>
                  <w:rPr>
                    <w:rFonts w:ascii="Cambria Math" w:hAnsi="Cambria Math"/>
                  </w:rPr>
                </m:ctrlPr>
              </m:sSupPr>
              <m:e>
                <m:r>
                  <w:rPr>
                    <w:rFonts w:ascii="Cambria Math" w:hAnsi="Cambria Math"/>
                  </w:rPr>
                  <m:t>ω</m:t>
                </m:r>
              </m:e>
              <m:sup>
                <m:r>
                  <w:rPr>
                    <w:rFonts w:ascii="Cambria Math" w:hAnsi="Cambria Math"/>
                  </w:rPr>
                  <m:t>2</m:t>
                </m:r>
              </m:sup>
            </m:sSup>
            <m:r>
              <w:rPr>
                <w:rFonts w:ascii="Cambria Math" w:hAnsi="Cambria Math"/>
              </w:rPr>
              <m:t>M+iωC+K</m:t>
            </m:r>
          </m:e>
        </m:d>
        <m:r>
          <w:rPr>
            <w:rFonts w:ascii="Cambria Math" w:hAnsi="Cambria Math"/>
          </w:rPr>
          <m:t>q=f</m:t>
        </m:r>
      </m:oMath>
      <w:r>
        <w:rPr>
          <w:rFonts w:eastAsia="宋体"/>
        </w:rPr>
        <w:t xml:space="preserve"> και πολλαπλασιάζοντας με </w:t>
      </w:r>
      <m:oMath>
        <m:sSub>
          <m:sSubPr>
            <m:ctrlPr>
              <w:rPr>
                <w:rFonts w:ascii="Cambria Math" w:hAnsi="Cambria Math"/>
              </w:rPr>
            </m:ctrlPr>
          </m:sSubPr>
          <m:e>
            <m:r>
              <w:rPr>
                <w:rFonts w:ascii="Cambria Math" w:hAnsi="Cambria Math"/>
              </w:rPr>
              <m:t>Λ</m:t>
            </m:r>
          </m:e>
          <m:sub>
            <m:r>
              <w:rPr>
                <w:rFonts w:ascii="Cambria Math" w:hAnsi="Cambria Math"/>
              </w:rPr>
              <m:t>L</m:t>
            </m:r>
          </m:sub>
        </m:sSub>
        <m:r>
          <w:rPr>
            <w:rFonts w:ascii="Cambria Math" w:hAnsi="Cambria Math"/>
          </w:rPr>
          <m:t>=</m:t>
        </m:r>
        <m:d>
          <m:dPr>
            <m:begChr m:val="["/>
            <m:endChr m:val="]"/>
            <m:ctrlPr>
              <w:rPr>
                <w:rFonts w:ascii="Cambria Math" w:hAnsi="Cambria Math"/>
              </w:rPr>
            </m:ctrlPr>
          </m:dPr>
          <m:e>
            <m:r>
              <w:rPr>
                <w:rFonts w:ascii="Cambria Math" w:hAnsi="Cambria Math"/>
              </w:rPr>
              <m:t>I</m:t>
            </m:r>
            <m:sSubSup>
              <m:sSubSupPr>
                <m:ctrlPr>
                  <w:rPr>
                    <w:rFonts w:ascii="Cambria Math" w:hAnsi="Cambria Math"/>
                  </w:rPr>
                </m:ctrlPr>
              </m:sSubSupPr>
              <m:e>
                <m:r>
                  <w:rPr>
                    <w:rFonts w:ascii="Cambria Math" w:hAnsi="Cambria Math"/>
                  </w:rPr>
                  <m:t>λ</m:t>
                </m:r>
              </m:e>
              <m:sub>
                <m:r>
                  <w:rPr>
                    <w:rFonts w:ascii="Cambria Math" w:hAnsi="Cambria Math"/>
                  </w:rPr>
                  <m:t>x</m:t>
                </m:r>
              </m:sub>
              <m:sup>
                <m:r>
                  <w:rPr>
                    <w:rFonts w:ascii="Cambria Math" w:hAnsi="Cambria Math"/>
                  </w:rPr>
                  <m:t>-1</m:t>
                </m:r>
              </m:sup>
            </m:sSubSup>
            <m:r>
              <w:rPr>
                <w:rFonts w:ascii="Cambria Math" w:hAnsi="Cambria Math"/>
              </w:rPr>
              <m:t xml:space="preserve">I </m:t>
            </m:r>
            <m:sSubSup>
              <m:sSubSupPr>
                <m:ctrlPr>
                  <w:rPr>
                    <w:rFonts w:ascii="Cambria Math" w:hAnsi="Cambria Math"/>
                  </w:rPr>
                </m:ctrlPr>
              </m:sSubSupPr>
              <m:e>
                <m:r>
                  <w:rPr>
                    <w:rFonts w:ascii="Cambria Math" w:hAnsi="Cambria Math"/>
                  </w:rPr>
                  <m:t>λ</m:t>
                </m:r>
              </m:e>
              <m:sub>
                <m:r>
                  <w:rPr>
                    <w:rFonts w:ascii="Cambria Math" w:hAnsi="Cambria Math"/>
                  </w:rPr>
                  <m:t>x</m:t>
                </m:r>
              </m:sub>
              <m:sup>
                <m:r>
                  <w:rPr>
                    <w:rFonts w:ascii="Cambria Math" w:hAnsi="Cambria Math"/>
                  </w:rPr>
                  <m:t>-1</m:t>
                </m:r>
              </m:sup>
            </m:sSubSup>
            <m:r>
              <w:rPr>
                <w:rFonts w:ascii="Cambria Math" w:hAnsi="Cambria Math"/>
              </w:rPr>
              <m:t xml:space="preserve">I </m:t>
            </m:r>
            <m:sSup>
              <m:sSupPr>
                <m:ctrlPr>
                  <w:rPr>
                    <w:rFonts w:ascii="Cambria Math" w:hAnsi="Cambria Math"/>
                  </w:rPr>
                </m:ctrlPr>
              </m:sSupPr>
              <m:e>
                <m:d>
                  <m:dPr>
                    <m:endChr m:val=")"/>
                    <m:ctrlPr>
                      <w:rPr>
                        <w:rFonts w:ascii="Cambria Math" w:hAnsi="Cambria Math"/>
                      </w:rPr>
                    </m:ctrlPr>
                  </m:dPr>
                  <m:e>
                    <m:sSub>
                      <m:sSubPr>
                        <m:ctrlPr>
                          <w:rPr>
                            <w:rFonts w:ascii="Cambria Math" w:hAnsi="Cambria Math"/>
                          </w:rPr>
                        </m:ctrlPr>
                      </m:sSubPr>
                      <m:e>
                        <m:r>
                          <w:rPr>
                            <w:rFonts w:ascii="Cambria Math" w:hAnsi="Cambria Math"/>
                          </w:rPr>
                          <m:t>λ</m:t>
                        </m:r>
                      </m:e>
                      <m:sub>
                        <m:r>
                          <w:rPr>
                            <w:rFonts w:ascii="Cambria Math" w:hAnsi="Cambria Math"/>
                          </w:rPr>
                          <m:t>x</m:t>
                        </m:r>
                      </m:sub>
                    </m:sSub>
                    <m:sSub>
                      <m:sSubPr>
                        <m:ctrlPr>
                          <w:rPr>
                            <w:rFonts w:ascii="Cambria Math" w:hAnsi="Cambria Math"/>
                          </w:rPr>
                        </m:ctrlPr>
                      </m:sSubPr>
                      <m:e>
                        <m:r>
                          <w:rPr>
                            <w:rFonts w:ascii="Cambria Math" w:hAnsi="Cambria Math"/>
                          </w:rPr>
                          <m:t>λ</m:t>
                        </m:r>
                      </m:e>
                      <m:sub>
                        <m:r>
                          <w:rPr>
                            <w:rFonts w:ascii="Cambria Math" w:hAnsi="Cambria Math"/>
                          </w:rPr>
                          <m:t>y</m:t>
                        </m:r>
                      </m:sub>
                    </m:sSub>
                  </m:e>
                </m:d>
              </m:e>
              <m:sup>
                <m:r>
                  <w:rPr>
                    <w:rFonts w:ascii="Cambria Math" w:hAnsi="Cambria Math"/>
                  </w:rPr>
                  <m:t>-1</m:t>
                </m:r>
              </m:sup>
            </m:sSup>
            <m:r>
              <w:rPr>
                <w:rFonts w:ascii="Cambria Math" w:hAnsi="Cambria Math"/>
              </w:rPr>
              <m:t>I</m:t>
            </m:r>
          </m:e>
        </m:d>
      </m:oMath>
      <w:r>
        <w:rPr>
          <w:rFonts w:eastAsia="宋体"/>
        </w:rPr>
        <w:t xml:space="preserve"> </w:t>
      </w:r>
      <w:r>
        <w:rPr>
          <w:rFonts w:eastAsia="宋体"/>
        </w:rPr>
        <w:t>έχουμε:</w:t>
      </w:r>
    </w:p>
    <w:p>
      <w:pPr>
        <w:pStyle w:val="style0"/>
        <w:jc w:val="center"/>
        <w:rPr>
          <w:rFonts w:eastAsia="宋体"/>
        </w:rPr>
      </w:pPr>
      <m:oMath>
        <m:d>
          <m:dPr>
            <m:endChr m:val=")"/>
            <m:ctrlPr>
              <w:rPr>
                <w:rFonts w:ascii="Cambria Math" w:hAnsi="Cambria Math"/>
              </w:rPr>
            </m:ctrlPr>
          </m:dPr>
          <m:e>
            <m:r>
              <w:rPr>
                <w:rFonts w:ascii="Cambria Math" w:hAnsi="Cambria Math"/>
              </w:rPr>
              <m:t>-</m:t>
            </m:r>
            <m:sSup>
              <m:sSupPr>
                <m:ctrlPr>
                  <w:rPr>
                    <w:rFonts w:ascii="Cambria Math" w:hAnsi="Cambria Math"/>
                  </w:rPr>
                </m:ctrlPr>
              </m:sSupPr>
              <m:e>
                <m:r>
                  <w:rPr>
                    <w:rFonts w:ascii="Cambria Math" w:hAnsi="Cambria Math"/>
                  </w:rPr>
                  <m:t>ω</m:t>
                </m:r>
              </m:e>
              <m:sup>
                <m:r>
                  <w:rPr>
                    <w:rFonts w:ascii="Cambria Math" w:hAnsi="Cambria Math"/>
                  </w:rPr>
                  <m:t>2</m:t>
                </m:r>
              </m:sup>
            </m:sSup>
            <m:bar>
              <m:barPr>
                <m:pos m:val="top"/>
                <m:ctrlPr>
                  <w:rPr>
                    <w:rFonts w:ascii="Cambria Math" w:hAnsi="Cambria Math"/>
                  </w:rPr>
                </m:ctrlPr>
              </m:barPr>
              <m:e>
                <m:r>
                  <w:rPr>
                    <w:rFonts w:ascii="Cambria Math" w:hAnsi="Cambria Math"/>
                  </w:rPr>
                  <m:t>Μ</m:t>
                </m:r>
              </m:e>
            </m:bar>
            <m:d>
              <m:dPr>
                <m:endChr m:val=")"/>
                <m:ctrlPr>
                  <w:rPr>
                    <w:rFonts w:ascii="Cambria Math" w:hAnsi="Cambria Math"/>
                  </w:rPr>
                </m:ctrlPr>
              </m:dPr>
              <m:e>
                <m:sSub>
                  <m:sSubPr>
                    <m:ctrlPr>
                      <w:rPr>
                        <w:rFonts w:ascii="Cambria Math" w:hAnsi="Cambria Math"/>
                      </w:rPr>
                    </m:ctrlPr>
                  </m:sSubPr>
                  <m:e>
                    <m:r>
                      <w:rPr>
                        <w:rFonts w:ascii="Cambria Math" w:hAnsi="Cambria Math"/>
                      </w:rPr>
                      <m:t>μ</m:t>
                    </m:r>
                  </m:e>
                  <m:sub>
                    <m:r>
                      <w:rPr>
                        <w:rFonts w:ascii="Cambria Math" w:hAnsi="Cambria Math"/>
                      </w:rPr>
                      <m:t>x</m:t>
                    </m:r>
                  </m:sub>
                </m:sSub>
                <m: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y</m:t>
                    </m:r>
                  </m:sub>
                </m:sSub>
              </m:e>
            </m:d>
            <m:r>
              <w:rPr>
                <w:rFonts w:ascii="Cambria Math" w:hAnsi="Cambria Math"/>
              </w:rPr>
              <m:t>+iω</m:t>
            </m:r>
            <m:bar>
              <m:barPr>
                <m:pos m:val="top"/>
                <m:ctrlPr>
                  <w:rPr>
                    <w:rFonts w:ascii="Cambria Math" w:hAnsi="Cambria Math"/>
                  </w:rPr>
                </m:ctrlPr>
              </m:barPr>
              <m:e>
                <m:r>
                  <w:rPr>
                    <w:rFonts w:ascii="Cambria Math" w:hAnsi="Cambria Math"/>
                  </w:rPr>
                  <m:t>C</m:t>
                </m:r>
              </m:e>
            </m:bar>
            <m:d>
              <m:dPr>
                <m:endChr m:val=")"/>
                <m:ctrlPr>
                  <w:rPr>
                    <w:rFonts w:ascii="Cambria Math" w:hAnsi="Cambria Math"/>
                  </w:rPr>
                </m:ctrlPr>
              </m:dPr>
              <m:e>
                <m:sSub>
                  <m:sSubPr>
                    <m:ctrlPr>
                      <w:rPr>
                        <w:rFonts w:ascii="Cambria Math" w:hAnsi="Cambria Math"/>
                      </w:rPr>
                    </m:ctrlPr>
                  </m:sSubPr>
                  <m:e>
                    <m:r>
                      <w:rPr>
                        <w:rFonts w:ascii="Cambria Math" w:hAnsi="Cambria Math"/>
                      </w:rPr>
                      <m:t>μ</m:t>
                    </m:r>
                  </m:e>
                  <m:sub>
                    <m:r>
                      <w:rPr>
                        <w:rFonts w:ascii="Cambria Math" w:hAnsi="Cambria Math"/>
                      </w:rPr>
                      <m:t>x</m:t>
                    </m:r>
                  </m:sub>
                </m:sSub>
                <m: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y</m:t>
                    </m:r>
                  </m:sub>
                </m:sSub>
              </m:e>
            </m:d>
            <m:r>
              <w:rPr>
                <w:rFonts w:ascii="Cambria Math" w:hAnsi="Cambria Math"/>
              </w:rPr>
              <m:t>+</m:t>
            </m:r>
            <m:bar>
              <m:barPr>
                <m:pos m:val="top"/>
                <m:ctrlPr>
                  <w:rPr>
                    <w:rFonts w:ascii="Cambria Math" w:hAnsi="Cambria Math"/>
                  </w:rPr>
                </m:ctrlPr>
              </m:barPr>
              <m:e>
                <m:r>
                  <w:rPr>
                    <w:rFonts w:ascii="Cambria Math" w:hAnsi="Cambria Math"/>
                  </w:rPr>
                  <m:t>K</m:t>
                </m:r>
              </m:e>
            </m:bar>
            <m:d>
              <m:dPr>
                <m:endChr m:val=")"/>
                <m:ctrlPr>
                  <w:rPr>
                    <w:rFonts w:ascii="Cambria Math" w:hAnsi="Cambria Math"/>
                  </w:rPr>
                </m:ctrlPr>
              </m:dPr>
              <m:e>
                <m:sSub>
                  <m:sSubPr>
                    <m:ctrlPr>
                      <w:rPr>
                        <w:rFonts w:ascii="Cambria Math" w:hAnsi="Cambria Math"/>
                      </w:rPr>
                    </m:ctrlPr>
                  </m:sSubPr>
                  <m:e>
                    <m:r>
                      <w:rPr>
                        <w:rFonts w:ascii="Cambria Math" w:hAnsi="Cambria Math"/>
                      </w:rPr>
                      <m:t>μ</m:t>
                    </m:r>
                  </m:e>
                  <m:sub>
                    <m:r>
                      <w:rPr>
                        <w:rFonts w:ascii="Cambria Math" w:hAnsi="Cambria Math"/>
                      </w:rPr>
                      <m:t>x</m:t>
                    </m:r>
                  </m:sub>
                </m:sSub>
                <m: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y</m:t>
                    </m:r>
                  </m:sub>
                </m:sSub>
              </m:e>
            </m:d>
          </m:e>
        </m:d>
        <m:r>
          <w:rPr>
            <w:rFonts w:ascii="Cambria Math" w:hAnsi="Cambria Math"/>
          </w:rPr>
          <m:t>q=f</m:t>
        </m:r>
      </m:oMath>
      <w:r>
        <w:rPr>
          <w:rFonts w:eastAsia="宋体"/>
        </w:rPr>
        <w:tab/>
      </w:r>
      <w:r>
        <w:rPr>
          <w:rFonts w:eastAsia="宋体"/>
        </w:rPr>
        <w:t>(18)</w:t>
      </w:r>
    </w:p>
    <w:p>
      <w:pPr>
        <w:pStyle w:val="style0"/>
        <w:rPr>
          <w:rFonts w:eastAsia="宋体"/>
        </w:rPr>
      </w:pPr>
      <w:r>
        <w:rPr>
          <w:rFonts w:eastAsia="宋体"/>
        </w:rPr>
        <w:t xml:space="preserve">Με </w:t>
      </w:r>
      <m:oMath>
        <m:bar>
          <m:barPr>
            <m:pos m:val="top"/>
            <m:ctrlPr>
              <w:rPr>
                <w:rFonts w:ascii="Cambria Math" w:hAnsi="Cambria Math"/>
              </w:rPr>
            </m:ctrlPr>
          </m:barPr>
          <m:e>
            <m:r>
              <w:rPr>
                <w:rFonts w:ascii="Cambria Math" w:hAnsi="Cambria Math"/>
              </w:rPr>
              <m:t>Μ</m:t>
            </m:r>
          </m:e>
        </m:bar>
        <m:r>
          <w:rPr>
            <w:rFonts w:ascii="Cambria Math" w:hAnsi="Cambria Math"/>
          </w:rPr>
          <m:t>=</m:t>
        </m:r>
        <m:sSub>
          <m:sSubPr>
            <m:ctrlPr>
              <w:rPr>
                <w:rFonts w:ascii="Cambria Math" w:hAnsi="Cambria Math"/>
              </w:rPr>
            </m:ctrlPr>
          </m:sSubPr>
          <m:e>
            <m:r>
              <w:rPr>
                <w:rFonts w:ascii="Cambria Math" w:hAnsi="Cambria Math"/>
              </w:rPr>
              <m:t>Λ</m:t>
            </m:r>
          </m:e>
          <m:sub>
            <m:r>
              <w:rPr>
                <w:rFonts w:ascii="Cambria Math" w:hAnsi="Cambria Math"/>
              </w:rPr>
              <m:t>L</m:t>
            </m:r>
          </m:sub>
        </m:sSub>
        <m:r>
          <w:rPr>
            <w:rFonts w:ascii="Cambria Math" w:hAnsi="Cambria Math"/>
          </w:rPr>
          <m:t>M</m:t>
        </m:r>
        <m:sSub>
          <m:sSubPr>
            <m:ctrlPr>
              <w:rPr>
                <w:rFonts w:ascii="Cambria Math" w:hAnsi="Cambria Math"/>
              </w:rPr>
            </m:ctrlPr>
          </m:sSubPr>
          <m:e>
            <m:r>
              <w:rPr>
                <w:rFonts w:ascii="Cambria Math" w:hAnsi="Cambria Math"/>
              </w:rPr>
              <m:t>Λ</m:t>
            </m:r>
          </m:e>
          <m:sub>
            <m:r>
              <w:rPr>
                <w:rFonts w:ascii="Cambria Math" w:hAnsi="Cambria Math"/>
              </w:rPr>
              <m:t>R</m:t>
            </m:r>
          </m:sub>
        </m:sSub>
        <m:r>
          <w:rPr>
            <w:rFonts w:ascii="Cambria Math" w:hAnsi="Cambria Math"/>
          </w:rPr>
          <m:t xml:space="preserve">, </m:t>
        </m:r>
        <m:bar>
          <m:barPr>
            <m:pos m:val="top"/>
            <m:ctrlPr>
              <w:rPr>
                <w:rFonts w:ascii="Cambria Math" w:hAnsi="Cambria Math"/>
              </w:rPr>
            </m:ctrlPr>
          </m:barPr>
          <m:e>
            <m:r>
              <w:rPr>
                <w:rFonts w:ascii="Cambria Math" w:hAnsi="Cambria Math"/>
              </w:rPr>
              <m:t>C</m:t>
            </m:r>
          </m:e>
        </m:bar>
        <m:r>
          <w:rPr>
            <w:rFonts w:ascii="Cambria Math" w:hAnsi="Cambria Math"/>
          </w:rPr>
          <m:t>=</m:t>
        </m:r>
        <m:sSub>
          <m:sSubPr>
            <m:ctrlPr>
              <w:rPr>
                <w:rFonts w:ascii="Cambria Math" w:hAnsi="Cambria Math"/>
              </w:rPr>
            </m:ctrlPr>
          </m:sSubPr>
          <m:e>
            <m:r>
              <w:rPr>
                <w:rFonts w:ascii="Cambria Math" w:hAnsi="Cambria Math"/>
              </w:rPr>
              <m:t>Λ</m:t>
            </m:r>
          </m:e>
          <m:sub>
            <m:r>
              <w:rPr>
                <w:rFonts w:ascii="Cambria Math" w:hAnsi="Cambria Math"/>
              </w:rPr>
              <m:t>L</m:t>
            </m:r>
          </m:sub>
        </m:sSub>
        <m:r>
          <w:rPr>
            <w:rFonts w:ascii="Cambria Math" w:hAnsi="Cambria Math"/>
          </w:rPr>
          <m:t>C</m:t>
        </m:r>
        <m:sSub>
          <m:sSubPr>
            <m:ctrlPr>
              <w:rPr>
                <w:rFonts w:ascii="Cambria Math" w:hAnsi="Cambria Math"/>
              </w:rPr>
            </m:ctrlPr>
          </m:sSubPr>
          <m:e>
            <m:r>
              <w:rPr>
                <w:rFonts w:ascii="Cambria Math" w:hAnsi="Cambria Math"/>
              </w:rPr>
              <m:t>Λ</m:t>
            </m:r>
          </m:e>
          <m:sub>
            <m:r>
              <w:rPr>
                <w:rFonts w:ascii="Cambria Math" w:hAnsi="Cambria Math"/>
              </w:rPr>
              <m:t>R</m:t>
            </m:r>
          </m:sub>
        </m:sSub>
        <m:r>
          <w:rPr>
            <w:rFonts w:ascii="Cambria Math" w:hAnsi="Cambria Math"/>
          </w:rPr>
          <m:t xml:space="preserve">, </m:t>
        </m:r>
        <m:bar>
          <m:barPr>
            <m:pos m:val="top"/>
            <m:ctrlPr>
              <w:rPr>
                <w:rFonts w:ascii="Cambria Math" w:hAnsi="Cambria Math"/>
              </w:rPr>
            </m:ctrlPr>
          </m:barPr>
          <m:e>
            <m:r>
              <w:rPr>
                <w:rFonts w:ascii="Cambria Math" w:hAnsi="Cambria Math"/>
              </w:rPr>
              <m:t>K</m:t>
            </m:r>
          </m:e>
        </m:bar>
        <m:r>
          <w:rPr>
            <w:rFonts w:ascii="Cambria Math" w:hAnsi="Cambria Math"/>
          </w:rPr>
          <m:t>=</m:t>
        </m:r>
        <m:sSub>
          <m:sSubPr>
            <m:ctrlPr>
              <w:rPr>
                <w:rFonts w:ascii="Cambria Math" w:hAnsi="Cambria Math"/>
              </w:rPr>
            </m:ctrlPr>
          </m:sSubPr>
          <m:e>
            <m:r>
              <w:rPr>
                <w:rFonts w:ascii="Cambria Math" w:hAnsi="Cambria Math"/>
              </w:rPr>
              <m:t>Λ</m:t>
            </m:r>
          </m:e>
          <m:sub>
            <m:r>
              <w:rPr>
                <w:rFonts w:ascii="Cambria Math" w:hAnsi="Cambria Math"/>
              </w:rPr>
              <m:t>L</m:t>
            </m:r>
          </m:sub>
        </m:sSub>
        <m:r>
          <w:rPr>
            <w:rFonts w:ascii="Cambria Math" w:hAnsi="Cambria Math"/>
          </w:rPr>
          <m:t>K</m:t>
        </m:r>
        <m:sSub>
          <m:sSubPr>
            <m:ctrlPr>
              <w:rPr>
                <w:rFonts w:ascii="Cambria Math" w:hAnsi="Cambria Math"/>
              </w:rPr>
            </m:ctrlPr>
          </m:sSubPr>
          <m:e>
            <m:r>
              <w:rPr>
                <w:rFonts w:ascii="Cambria Math" w:hAnsi="Cambria Math"/>
              </w:rPr>
              <m:t>Λ</m:t>
            </m:r>
          </m:e>
          <m:sub>
            <m:r>
              <w:rPr>
                <w:rFonts w:ascii="Cambria Math" w:hAnsi="Cambria Math"/>
              </w:rPr>
              <m:t>R</m:t>
            </m:r>
          </m:sub>
        </m:sSub>
      </m:oMath>
      <w:r>
        <w:rPr>
          <w:rFonts w:eastAsia="宋体"/>
        </w:rPr>
        <w:t xml:space="preserve"> οι πίνακες μάζας απόσβεσης και ακαμψίας.</w:t>
      </w:r>
    </w:p>
    <w:p>
      <w:pPr>
        <w:pStyle w:val="style0"/>
        <w:rPr>
          <w:rFonts w:eastAsia="宋体"/>
        </w:rPr>
      </w:pPr>
      <w:r>
        <w:rPr>
          <w:rFonts w:eastAsia="宋体"/>
        </w:rPr>
        <w:t>Το πρόβλημα των ιδιοτιμών γίνεται:</w:t>
      </w:r>
    </w:p>
    <w:p>
      <w:pPr>
        <w:pStyle w:val="style0"/>
        <w:jc w:val="center"/>
        <w:rPr>
          <w:rFonts w:eastAsia="宋体"/>
          <w:lang w:val="en-US"/>
        </w:rPr>
      </w:pPr>
      <m:oMathPara>
        <m:oMath>
          <m:bar>
            <m:barPr>
              <m:pos m:val="top"/>
              <m:ctrlPr>
                <w:rPr>
                  <w:rFonts w:ascii="Cambria Math" w:hAnsi="Cambria Math"/>
                </w:rPr>
              </m:ctrlPr>
            </m:barPr>
            <m:e>
              <m:r>
                <w:rPr>
                  <w:rFonts w:ascii="Cambria Math" w:hAnsi="Cambria Math"/>
                </w:rPr>
                <m:t>D</m:t>
              </m:r>
            </m:e>
          </m:bar>
          <m:d>
            <m:dPr>
              <m:endChr m:val=")"/>
              <m:ctrlPr>
                <w:rPr>
                  <w:rFonts w:ascii="Cambria Math" w:hAnsi="Cambria Math"/>
                </w:rPr>
              </m:ctrlPr>
            </m:dPr>
            <m:e>
              <m:r>
                <w:rPr>
                  <w:rFonts w:ascii="Cambria Math" w:hAnsi="Cambria Math"/>
                </w:rPr>
                <m:t>ω,</m:t>
              </m:r>
              <m:sSub>
                <m:sSubPr>
                  <m:ctrlPr>
                    <w:rPr>
                      <w:rFonts w:ascii="Cambria Math" w:hAnsi="Cambria Math"/>
                    </w:rPr>
                  </m:ctrlPr>
                </m:sSubPr>
                <m:e>
                  <m:r>
                    <w:rPr>
                      <w:rFonts w:ascii="Cambria Math" w:hAnsi="Cambria Math"/>
                    </w:rPr>
                    <m:t>λ</m:t>
                  </m:r>
                </m:e>
                <m:sub>
                  <m:r>
                    <w:rPr>
                      <w:rFonts w:ascii="Cambria Math" w:hAnsi="Cambria Math"/>
                    </w:rPr>
                    <m:t>x</m:t>
                  </m:r>
                </m:sub>
              </m:sSub>
              <m:r>
                <w:rPr>
                  <w:rFonts w:ascii="Cambria Math" w:hAnsi="Cambria Math"/>
                </w:rPr>
                <m:t>,</m:t>
              </m:r>
              <m:sSub>
                <m:sSubPr>
                  <m:ctrlPr>
                    <w:rPr>
                      <w:rFonts w:ascii="Cambria Math" w:hAnsi="Cambria Math"/>
                    </w:rPr>
                  </m:ctrlPr>
                </m:sSubPr>
                <m:e>
                  <m:r>
                    <w:rPr>
                      <w:rFonts w:ascii="Cambria Math" w:hAnsi="Cambria Math"/>
                    </w:rPr>
                    <m:t>λ</m:t>
                  </m:r>
                </m:e>
                <m:sub>
                  <m:r>
                    <w:rPr>
                      <w:rFonts w:ascii="Cambria Math" w:hAnsi="Cambria Math"/>
                    </w:rPr>
                    <m:t>y</m:t>
                  </m:r>
                </m:sub>
              </m:sSub>
            </m:e>
          </m:d>
          <m:r>
            <w:rPr>
              <w:rFonts w:ascii="Cambria Math" w:hAnsi="Cambria Math"/>
            </w:rPr>
            <m:t>=0</m:t>
          </m:r>
        </m:oMath>
      </m:oMathPara>
    </w:p>
    <w:p>
      <w:pPr>
        <w:pStyle w:val="style0"/>
        <w:rPr>
          <w:rFonts w:eastAsia="宋体"/>
        </w:rPr>
      </w:pPr>
      <w:r>
        <w:rPr>
          <w:rFonts w:eastAsia="宋体"/>
        </w:rPr>
        <w:t xml:space="preserve">Με </w:t>
      </w:r>
      <m:oMath>
        <m:bar>
          <m:barPr>
            <m:pos m:val="top"/>
            <m:ctrlPr>
              <w:rPr>
                <w:rFonts w:ascii="Cambria Math" w:hAnsi="Cambria Math"/>
              </w:rPr>
            </m:ctrlPr>
          </m:barPr>
          <m:e>
            <m:r>
              <w:rPr>
                <w:rFonts w:ascii="Cambria Math" w:hAnsi="Cambria Math"/>
              </w:rPr>
              <m:t>D</m:t>
            </m:r>
          </m:e>
        </m:bar>
      </m:oMath>
      <w:r>
        <w:rPr>
          <w:rFonts w:eastAsia="宋体"/>
        </w:rPr>
        <w:t xml:space="preserve"> </w:t>
      </w:r>
      <w:r>
        <w:rPr>
          <w:rFonts w:eastAsia="宋体"/>
        </w:rPr>
        <w:t xml:space="preserve"> το απλοποιημένο μητρώο δυναμικής ακαμψίας.</w:t>
      </w:r>
      <w:r>
        <w:rPr>
          <w:rFonts w:eastAsia="宋体"/>
        </w:rPr>
        <w:t>[10],[14],</w:t>
      </w:r>
      <w:r>
        <w:rPr>
          <w:rFonts w:eastAsia="宋体"/>
        </w:rPr>
        <w:t>[</w:t>
      </w:r>
      <w:r>
        <w:rPr>
          <w:rFonts w:eastAsia="宋体"/>
        </w:rPr>
        <w:t>16],[17],[18],[19],[20],[21]</w:t>
      </w:r>
    </w:p>
    <w:p>
      <w:pPr>
        <w:pStyle w:val="style0"/>
        <w:rPr/>
      </w:pPr>
      <w:r>
        <w:br w:type="page"/>
      </w:r>
    </w:p>
    <w:bookmarkStart w:id="27" w:name="_Toc66524597"/>
    <w:bookmarkStart w:id="28" w:name="_Toc77270434"/>
    <w:p>
      <w:pPr>
        <w:pStyle w:val="style1"/>
        <w:rPr/>
      </w:pPr>
      <w:r>
        <w:t xml:space="preserve">Κεφάλαιο 6 – Προσομοίωση δομής με </w:t>
      </w:r>
      <w:r>
        <w:t>χρήση περιοδικών συνθηκών</w:t>
      </w:r>
      <w:bookmarkEnd w:id="27"/>
      <w:bookmarkEnd w:id="28"/>
    </w:p>
    <w:p>
      <w:pPr>
        <w:pStyle w:val="style0"/>
        <w:rPr/>
      </w:pPr>
    </w:p>
    <w:p>
      <w:pPr>
        <w:pStyle w:val="style0"/>
        <w:rPr/>
      </w:pPr>
      <w:r>
        <w:t xml:space="preserve">Έπειτα από πολλαπλούς ελέγχους μεταξύ διαφορετικών υλικών αποφασίστηκε πως θα γίνει χρήση του συνδυασμού </w:t>
      </w:r>
      <w:r>
        <w:rPr>
          <w:lang w:val="en-US"/>
        </w:rPr>
        <w:t>Tungsten</w:t>
      </w:r>
      <w:r>
        <w:t xml:space="preserve">, στον σκελετό της δομής/ πλέγμα, και </w:t>
      </w:r>
      <w:r>
        <w:rPr>
          <w:lang w:val="en-US"/>
        </w:rPr>
        <w:t>Copper</w:t>
      </w:r>
      <w:r>
        <w:t xml:space="preserve"> </w:t>
      </w:r>
      <w:r>
        <w:t>ως πυρήνα της δομής. Οι ιδιότητες των υλικών που χρησιμοποιήθηκαν παρουσιάζονται στον πίνακα που ακολουθεί:</w:t>
      </w:r>
    </w:p>
    <w:tbl>
      <w:tblPr>
        <w:tblStyle w:val="style154"/>
        <w:tblW w:w="8492" w:type="dxa"/>
        <w:tblLook w:val="04A0" w:firstRow="1" w:lastRow="0" w:firstColumn="1" w:lastColumn="0" w:noHBand="0" w:noVBand="1"/>
      </w:tblPr>
      <w:tblGrid>
        <w:gridCol w:w="2123"/>
        <w:gridCol w:w="2123"/>
        <w:gridCol w:w="2123"/>
        <w:gridCol w:w="2123"/>
      </w:tblGrid>
      <w:tr>
        <w:trPr>
          <w:trHeight w:val="766" w:hRule="atLeast"/>
        </w:trPr>
        <w:tc>
          <w:tcPr>
            <w:tcW w:w="2123" w:type="dxa"/>
            <w:tcBorders/>
          </w:tcPr>
          <w:p>
            <w:pPr>
              <w:pStyle w:val="style0"/>
              <w:jc w:val="center"/>
              <w:rPr>
                <w:b/>
                <w:bCs/>
                <w:sz w:val="26"/>
                <w:szCs w:val="26"/>
              </w:rPr>
            </w:pPr>
            <w:r>
              <w:rPr>
                <w:b/>
                <w:bCs/>
                <w:sz w:val="26"/>
                <w:szCs w:val="26"/>
              </w:rPr>
              <w:t>Υλικά</w:t>
            </w:r>
            <w:r>
              <w:rPr>
                <w:b/>
                <w:bCs/>
                <w:sz w:val="26"/>
                <w:szCs w:val="26"/>
                <w:lang w:val="en-US"/>
              </w:rPr>
              <w:t xml:space="preserve"> (Material)</w:t>
            </w:r>
          </w:p>
        </w:tc>
        <w:tc>
          <w:tcPr>
            <w:tcW w:w="2123" w:type="dxa"/>
            <w:tcBorders/>
          </w:tcPr>
          <w:p>
            <w:pPr>
              <w:pStyle w:val="style0"/>
              <w:jc w:val="center"/>
              <w:rPr>
                <w:b/>
                <w:bCs/>
                <w:sz w:val="26"/>
                <w:szCs w:val="26"/>
                <w:lang w:val="en-US"/>
              </w:rPr>
            </w:pPr>
            <w:r>
              <w:rPr>
                <w:b/>
                <w:bCs/>
                <w:sz w:val="26"/>
                <w:szCs w:val="26"/>
              </w:rPr>
              <w:t>Πυκνότητα (</w:t>
            </w:r>
            <w:r>
              <w:rPr>
                <w:b/>
                <w:bCs/>
                <w:sz w:val="26"/>
                <w:szCs w:val="26"/>
                <w:lang w:val="en-US"/>
              </w:rPr>
              <w:t>density)</w:t>
            </w:r>
          </w:p>
        </w:tc>
        <w:tc>
          <w:tcPr>
            <w:tcW w:w="2123" w:type="dxa"/>
            <w:tcBorders/>
          </w:tcPr>
          <w:p>
            <w:pPr>
              <w:pStyle w:val="style0"/>
              <w:jc w:val="center"/>
              <w:rPr>
                <w:b/>
                <w:bCs/>
                <w:sz w:val="26"/>
                <w:szCs w:val="26"/>
                <w:lang w:val="en-US"/>
              </w:rPr>
            </w:pPr>
            <w:r>
              <w:rPr>
                <w:b/>
                <w:bCs/>
                <w:sz w:val="26"/>
                <w:szCs w:val="26"/>
              </w:rPr>
              <w:t xml:space="preserve">Λόγος </w:t>
            </w:r>
            <w:r>
              <w:rPr>
                <w:b/>
                <w:bCs/>
                <w:sz w:val="26"/>
                <w:szCs w:val="26"/>
                <w:lang w:val="en-US"/>
              </w:rPr>
              <w:t>Poisson</w:t>
            </w:r>
            <w:r>
              <w:rPr>
                <w:b/>
                <w:bCs/>
                <w:sz w:val="26"/>
                <w:szCs w:val="26"/>
              </w:rPr>
              <w:t xml:space="preserve"> (</w:t>
            </w:r>
            <w:r>
              <w:rPr>
                <w:b/>
                <w:bCs/>
                <w:sz w:val="26"/>
                <w:szCs w:val="26"/>
                <w:lang w:val="en-US"/>
              </w:rPr>
              <w:t>Poisson’s ratio)</w:t>
            </w:r>
          </w:p>
        </w:tc>
        <w:tc>
          <w:tcPr>
            <w:tcW w:w="2123" w:type="dxa"/>
            <w:tcBorders/>
          </w:tcPr>
          <w:p>
            <w:pPr>
              <w:pStyle w:val="style0"/>
              <w:jc w:val="center"/>
              <w:rPr>
                <w:b/>
                <w:bCs/>
                <w:sz w:val="26"/>
                <w:szCs w:val="26"/>
                <w:lang w:val="en-US"/>
              </w:rPr>
            </w:pPr>
            <w:r>
              <w:rPr>
                <w:b/>
                <w:bCs/>
                <w:sz w:val="26"/>
                <w:szCs w:val="26"/>
              </w:rPr>
              <w:t>Μέτρο ελαστικότητας (</w:t>
            </w:r>
            <w:r>
              <w:rPr>
                <w:b/>
                <w:bCs/>
                <w:sz w:val="26"/>
                <w:szCs w:val="26"/>
                <w:lang w:val="en-US"/>
              </w:rPr>
              <w:t>Young’s Modulus)</w:t>
            </w:r>
          </w:p>
        </w:tc>
      </w:tr>
      <w:tr>
        <w:tblPrEx/>
        <w:trPr>
          <w:trHeight w:val="197" w:hRule="atLeast"/>
        </w:trPr>
        <w:tc>
          <w:tcPr>
            <w:tcW w:w="2123" w:type="dxa"/>
            <w:tcBorders/>
          </w:tcPr>
          <w:p>
            <w:pPr>
              <w:pStyle w:val="style0"/>
              <w:jc w:val="center"/>
              <w:rPr>
                <w:lang w:val="en-US"/>
              </w:rPr>
            </w:pPr>
            <w:r>
              <w:rPr>
                <w:lang w:val="en-US"/>
              </w:rPr>
              <w:t>Copper</w:t>
            </w:r>
          </w:p>
        </w:tc>
        <w:tc>
          <w:tcPr>
            <w:tcW w:w="2123" w:type="dxa"/>
            <w:tcBorders/>
          </w:tcPr>
          <w:p>
            <w:pPr>
              <w:pStyle w:val="style0"/>
              <w:jc w:val="center"/>
              <w:rPr>
                <w:lang w:val="en-US"/>
              </w:rPr>
            </w:pPr>
            <w:r>
              <w:rPr>
                <w:lang w:val="en-US"/>
              </w:rPr>
              <w:t>8960 kg/m</w:t>
            </w:r>
            <w:r>
              <w:rPr>
                <w:vertAlign w:val="superscript"/>
                <w:lang w:val="en-US"/>
              </w:rPr>
              <w:t>3</w:t>
            </w:r>
          </w:p>
        </w:tc>
        <w:tc>
          <w:tcPr>
            <w:tcW w:w="2123" w:type="dxa"/>
            <w:tcBorders/>
          </w:tcPr>
          <w:p>
            <w:pPr>
              <w:pStyle w:val="style0"/>
              <w:jc w:val="center"/>
              <w:rPr>
                <w:lang w:val="en-US"/>
              </w:rPr>
            </w:pPr>
            <w:r>
              <w:rPr>
                <w:lang w:val="en-US"/>
              </w:rPr>
              <w:t>0.35</w:t>
            </w:r>
          </w:p>
        </w:tc>
        <w:tc>
          <w:tcPr>
            <w:tcW w:w="2123" w:type="dxa"/>
            <w:tcBorders/>
          </w:tcPr>
          <w:p>
            <w:pPr>
              <w:pStyle w:val="style0"/>
              <w:jc w:val="center"/>
              <w:rPr>
                <w:lang w:val="en-US"/>
              </w:rPr>
            </w:pPr>
            <w:r>
              <w:rPr>
                <w:lang w:val="en-US"/>
              </w:rPr>
              <w:t xml:space="preserve">110 </w:t>
            </w:r>
            <w:r>
              <w:rPr>
                <w:lang w:val="en-US"/>
              </w:rPr>
              <w:t>GPa</w:t>
            </w:r>
          </w:p>
        </w:tc>
      </w:tr>
      <w:tr>
        <w:tblPrEx/>
        <w:trPr>
          <w:trHeight w:val="188" w:hRule="atLeast"/>
        </w:trPr>
        <w:tc>
          <w:tcPr>
            <w:tcW w:w="2123" w:type="dxa"/>
            <w:tcBorders/>
          </w:tcPr>
          <w:p>
            <w:pPr>
              <w:pStyle w:val="style0"/>
              <w:jc w:val="center"/>
              <w:rPr>
                <w:lang w:val="en-US"/>
              </w:rPr>
            </w:pPr>
            <w:r>
              <w:rPr>
                <w:lang w:val="en-US"/>
              </w:rPr>
              <w:t>Tungsten</w:t>
            </w:r>
          </w:p>
        </w:tc>
        <w:tc>
          <w:tcPr>
            <w:tcW w:w="2123" w:type="dxa"/>
            <w:tcBorders/>
          </w:tcPr>
          <w:p>
            <w:pPr>
              <w:pStyle w:val="style0"/>
              <w:jc w:val="center"/>
              <w:rPr>
                <w:lang w:val="en-US"/>
              </w:rPr>
            </w:pPr>
            <w:r>
              <w:rPr>
                <w:lang w:val="en-US"/>
              </w:rPr>
              <w:t>17800 kg/m</w:t>
            </w:r>
            <w:r>
              <w:rPr>
                <w:vertAlign w:val="superscript"/>
                <w:lang w:val="en-US"/>
              </w:rPr>
              <w:t>3</w:t>
            </w:r>
          </w:p>
        </w:tc>
        <w:tc>
          <w:tcPr>
            <w:tcW w:w="2123" w:type="dxa"/>
            <w:tcBorders/>
          </w:tcPr>
          <w:p>
            <w:pPr>
              <w:pStyle w:val="style0"/>
              <w:jc w:val="center"/>
              <w:rPr>
                <w:lang w:val="en-US"/>
              </w:rPr>
            </w:pPr>
            <w:r>
              <w:rPr>
                <w:lang w:val="en-US"/>
              </w:rPr>
              <w:t>0.28</w:t>
            </w:r>
          </w:p>
        </w:tc>
        <w:tc>
          <w:tcPr>
            <w:tcW w:w="2123" w:type="dxa"/>
            <w:tcBorders/>
          </w:tcPr>
          <w:p>
            <w:pPr>
              <w:pStyle w:val="style0"/>
              <w:jc w:val="center"/>
              <w:rPr>
                <w:lang w:val="en-US"/>
              </w:rPr>
            </w:pPr>
            <w:r>
              <w:rPr>
                <w:lang w:val="en-US"/>
              </w:rPr>
              <w:t xml:space="preserve">3600 </w:t>
            </w:r>
            <w:r>
              <w:rPr>
                <w:lang w:val="en-US"/>
              </w:rPr>
              <w:t>GPa</w:t>
            </w:r>
          </w:p>
        </w:tc>
      </w:tr>
      <w:tr>
        <w:tblPrEx/>
        <w:trPr>
          <w:trHeight w:val="576" w:hRule="atLeast"/>
        </w:trPr>
        <w:tc>
          <w:tcPr>
            <w:tcW w:w="2123" w:type="dxa"/>
            <w:tcBorders/>
          </w:tcPr>
          <w:p>
            <w:pPr>
              <w:pStyle w:val="style0"/>
              <w:jc w:val="center"/>
              <w:rPr>
                <w:lang w:val="en-US"/>
              </w:rPr>
            </w:pPr>
            <w:r>
              <w:t>Υλικό επένδυσης (</w:t>
            </w:r>
            <w:r>
              <w:rPr>
                <w:lang w:val="en-US"/>
              </w:rPr>
              <w:t>Material 1)</w:t>
            </w:r>
          </w:p>
        </w:tc>
        <w:tc>
          <w:tcPr>
            <w:tcW w:w="2123" w:type="dxa"/>
            <w:tcBorders/>
          </w:tcPr>
          <w:p>
            <w:pPr>
              <w:pStyle w:val="style0"/>
              <w:jc w:val="center"/>
              <w:rPr>
                <w:vertAlign w:val="superscript"/>
                <w:lang w:val="en-US"/>
              </w:rPr>
            </w:pPr>
            <w:r>
              <w:rPr>
                <w:lang w:val="en-US"/>
              </w:rPr>
              <w:t>500 kg/m</w:t>
            </w:r>
            <w:r>
              <w:rPr>
                <w:vertAlign w:val="superscript"/>
                <w:lang w:val="en-US"/>
              </w:rPr>
              <w:t>3</w:t>
            </w:r>
          </w:p>
        </w:tc>
        <w:tc>
          <w:tcPr>
            <w:tcW w:w="2123" w:type="dxa"/>
            <w:tcBorders/>
          </w:tcPr>
          <w:p>
            <w:pPr>
              <w:pStyle w:val="style0"/>
              <w:jc w:val="center"/>
              <w:rPr>
                <w:lang w:val="en-US"/>
              </w:rPr>
            </w:pPr>
            <w:r>
              <w:rPr>
                <w:lang w:val="en-US"/>
              </w:rPr>
              <w:t>0.47</w:t>
            </w:r>
          </w:p>
        </w:tc>
        <w:tc>
          <w:tcPr>
            <w:tcW w:w="2123" w:type="dxa"/>
            <w:tcBorders/>
          </w:tcPr>
          <w:p>
            <w:pPr>
              <w:pStyle w:val="style0"/>
              <w:jc w:val="center"/>
              <w:rPr>
                <w:lang w:val="en-US"/>
              </w:rPr>
            </w:pPr>
            <w:r>
              <w:rPr>
                <w:lang w:val="en-US"/>
              </w:rPr>
              <w:t>5 MPa</w:t>
            </w:r>
          </w:p>
        </w:tc>
      </w:tr>
    </w:tbl>
    <w:p>
      <w:pPr>
        <w:pStyle w:val="style0"/>
        <w:rPr/>
      </w:pPr>
    </w:p>
    <w:p>
      <w:pPr>
        <w:pStyle w:val="style0"/>
        <w:rPr/>
      </w:pPr>
      <w:r>
        <w:t>Για όλες τις μελέτες, αν δεν αναφέρεται κάτι άλλο, ισχύουν τα εξής:</w:t>
      </w:r>
    </w:p>
    <w:p>
      <w:pPr>
        <w:pStyle w:val="style179"/>
        <w:numPr>
          <w:ilvl w:val="0"/>
          <w:numId w:val="2"/>
        </w:numPr>
        <w:rPr/>
      </w:pPr>
      <w:r>
        <w:t xml:space="preserve">Ακτίνα σκελετού </w:t>
      </w:r>
      <w:r>
        <w:rPr>
          <w:lang w:val="en-US"/>
        </w:rPr>
        <w:t>r=0.005 m</w:t>
      </w:r>
    </w:p>
    <w:p>
      <w:pPr>
        <w:pStyle w:val="style179"/>
        <w:numPr>
          <w:ilvl w:val="0"/>
          <w:numId w:val="2"/>
        </w:numPr>
        <w:rPr/>
      </w:pPr>
      <w:r>
        <w:t xml:space="preserve">ακτίνα πυρήνα </w:t>
      </w:r>
      <w:r>
        <w:rPr>
          <w:lang w:val="en-US"/>
        </w:rPr>
        <w:t>r</w:t>
      </w:r>
      <w:r>
        <w:rPr>
          <w:vertAlign w:val="subscript"/>
          <w:lang w:val="en-US"/>
        </w:rPr>
        <w:t>c</w:t>
      </w:r>
      <w:r>
        <w:rPr>
          <w:lang w:val="en-US"/>
        </w:rPr>
        <w:t>=r/4</w:t>
      </w:r>
    </w:p>
    <w:p>
      <w:pPr>
        <w:pStyle w:val="style179"/>
        <w:numPr>
          <w:ilvl w:val="0"/>
          <w:numId w:val="2"/>
        </w:numPr>
        <w:rPr/>
      </w:pPr>
      <w:r>
        <w:t xml:space="preserve">πλάτος κελιού </w:t>
      </w:r>
      <w:r>
        <w:rPr>
          <w:lang w:val="en-US"/>
        </w:rPr>
        <w:t>L1=0.</w:t>
      </w:r>
      <w:r>
        <w:t>02693</w:t>
      </w:r>
      <w:r>
        <w:rPr>
          <w:lang w:val="en-US"/>
        </w:rPr>
        <w:t xml:space="preserve"> m</w:t>
      </w:r>
    </w:p>
    <w:p>
      <w:pPr>
        <w:pStyle w:val="style179"/>
        <w:numPr>
          <w:ilvl w:val="0"/>
          <w:numId w:val="2"/>
        </w:numPr>
        <w:rPr/>
      </w:pPr>
      <w:r>
        <w:t>μήκος άρθρωσης</w:t>
      </w:r>
      <w:r>
        <w:t xml:space="preserve"> </w:t>
      </w:r>
      <w:r>
        <w:t xml:space="preserve">σύνδεσης από τον ένα σκελετό στον επόμενο </w:t>
      </w:r>
      <w:r>
        <w:rPr>
          <w:lang w:val="en-US"/>
        </w:rPr>
        <w:t>l</w:t>
      </w:r>
      <w:r>
        <w:t>=0.0</w:t>
      </w:r>
      <w:r>
        <w:t>25</w:t>
      </w:r>
      <w:r>
        <w:t xml:space="preserve"> </w:t>
      </w:r>
      <w:r>
        <w:rPr>
          <w:lang w:val="en-US"/>
        </w:rPr>
        <w:t>m</w:t>
      </w:r>
      <w:r>
        <w:t xml:space="preserve">, οπότε μήκος άρθρωσης κάθε κελιού </w:t>
      </w:r>
      <w:r>
        <w:rPr>
          <w:lang w:val="en-US"/>
        </w:rPr>
        <w:t>L</w:t>
      </w:r>
      <w:r>
        <w:t>=</w:t>
      </w:r>
      <w:r>
        <w:rPr>
          <w:lang w:val="en-US"/>
        </w:rPr>
        <w:t>l</w:t>
      </w:r>
      <w:r>
        <w:t>/2</w:t>
      </w:r>
      <w:r>
        <w:t>=0.0</w:t>
      </w:r>
      <w:r>
        <w:t>125</w:t>
      </w:r>
      <w:r>
        <w:t xml:space="preserve"> </w:t>
      </w:r>
      <w:r>
        <w:rPr>
          <w:lang w:val="en-US"/>
        </w:rPr>
        <w:t>m</w:t>
      </w:r>
    </w:p>
    <w:p>
      <w:pPr>
        <w:pStyle w:val="style179"/>
        <w:numPr>
          <w:ilvl w:val="0"/>
          <w:numId w:val="2"/>
        </w:numPr>
        <w:rPr/>
      </w:pPr>
      <w:r>
        <w:t xml:space="preserve">πάχος άρθρωσης </w:t>
      </w:r>
      <w:r>
        <w:rPr>
          <w:lang w:val="en-US"/>
        </w:rPr>
        <w:t>t=0.00035 m</w:t>
      </w:r>
    </w:p>
    <w:p>
      <w:pPr>
        <w:pStyle w:val="style179"/>
        <w:numPr>
          <w:ilvl w:val="0"/>
          <w:numId w:val="2"/>
        </w:numPr>
        <w:rPr/>
      </w:pPr>
      <w:r>
        <w:t xml:space="preserve">πάχος άρθρωσης στον άξονα </w:t>
      </w:r>
      <w:r>
        <w:rPr>
          <w:lang w:val="en-US"/>
        </w:rPr>
        <w:t>z</w:t>
      </w:r>
      <w:r>
        <w:t>,</w:t>
      </w:r>
      <w:r>
        <w:t xml:space="preserve"> </w:t>
      </w:r>
      <w:r>
        <w:rPr>
          <w:lang w:val="en-US"/>
        </w:rPr>
        <w:t>b</w:t>
      </w:r>
      <w:r>
        <w:t xml:space="preserve">=0.005 </w:t>
      </w:r>
      <w:r>
        <w:rPr>
          <w:lang w:val="en-US"/>
        </w:rPr>
        <w:t>m</w:t>
      </w:r>
    </w:p>
    <w:p>
      <w:pPr>
        <w:pStyle w:val="style179"/>
        <w:numPr>
          <w:ilvl w:val="0"/>
          <w:numId w:val="2"/>
        </w:numPr>
        <w:rPr>
          <w:lang w:val="en-US"/>
        </w:rPr>
      </w:pPr>
      <w:r>
        <w:t>αριθμός ιδιοσυχνοτήτων ελέγχου 20</w:t>
      </w:r>
    </w:p>
    <w:p>
      <w:pPr>
        <w:pStyle w:val="style179"/>
        <w:numPr>
          <w:ilvl w:val="0"/>
          <w:numId w:val="2"/>
        </w:numPr>
        <w:rPr/>
      </w:pPr>
      <w:r>
        <w:t>εύρος τιμών παραμέτρου περιοδικών συνθ</w:t>
      </w:r>
      <w:r>
        <w:t>η</w:t>
      </w:r>
      <w:r>
        <w:t>κ</w:t>
      </w:r>
      <w:r>
        <w:t>ώ</w:t>
      </w:r>
      <w:r>
        <w:t xml:space="preserve">ν </w:t>
      </w:r>
      <w:r>
        <w:rPr>
          <w:lang w:val="en-US"/>
        </w:rPr>
        <w:t>k</w:t>
      </w:r>
      <w:r>
        <w:t xml:space="preserve"> 0-4 με βήμα 0</w:t>
      </w:r>
      <w:r>
        <w:t>.</w:t>
      </w:r>
      <w:r>
        <w:t>08.</w:t>
      </w:r>
    </w:p>
    <w:p>
      <w:pPr>
        <w:pStyle w:val="style179"/>
        <w:jc w:val="center"/>
        <w:rPr/>
      </w:pPr>
    </w:p>
    <w:p>
      <w:pPr>
        <w:pStyle w:val="style179"/>
        <w:keepNext/>
        <w:jc w:val="center"/>
        <w:rPr/>
      </w:pPr>
      <w:r>
        <w:rPr>
          <w:noProof/>
        </w:rPr>
        <w:drawing>
          <wp:inline distL="0" distT="0" distB="0" distR="0">
            <wp:extent cx="2743200" cy="2916936"/>
            <wp:effectExtent l="0" t="0" r="0" b="0"/>
            <wp:docPr id="1035" name="Εικόνα 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9" name="Εικόνα 1"/>
                    <pic:cNvPicPr/>
                  </pic:nvPicPr>
                  <pic:blipFill>
                    <a:blip r:embed="rId11" cstate="print"/>
                    <a:srcRect l="0" t="0" r="0" b="0"/>
                    <a:stretch/>
                  </pic:blipFill>
                  <pic:spPr>
                    <a:xfrm rot="0">
                      <a:off x="0" y="0"/>
                      <a:ext cx="2743200" cy="2916936"/>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9</w:t>
      </w:r>
      <w:r>
        <w:rPr/>
        <w:fldChar w:fldCharType="end"/>
      </w:r>
      <w:r>
        <w:t xml:space="preserve"> Δομή με κυκλικό έγκλεισμα και διαστάσεις</w:t>
      </w:r>
    </w:p>
    <w:bookmarkStart w:id="29" w:name="_Toc66524598"/>
    <w:bookmarkStart w:id="30" w:name="_Toc77270435"/>
    <w:p>
      <w:pPr>
        <w:pStyle w:val="style2"/>
        <w:rPr/>
      </w:pPr>
      <w:r>
        <w:t>Προσομοίωση δομής χωρίς και με κυκλικό έγκλεισμα (πυρήνα) (</w:t>
      </w:r>
      <w:r>
        <w:rPr>
          <w:lang w:val="en-US"/>
        </w:rPr>
        <w:t>r</w:t>
      </w:r>
      <w:r>
        <w:rPr>
          <w:vertAlign w:val="subscript"/>
          <w:lang w:val="en-US"/>
        </w:rPr>
        <w:t>c</w:t>
      </w:r>
      <w:r>
        <w:t>=</w:t>
      </w:r>
      <w:r>
        <w:rPr>
          <w:lang w:val="en-US"/>
        </w:rPr>
        <w:t>r</w:t>
      </w:r>
      <w:r>
        <w:t>/4)</w:t>
      </w:r>
      <w:bookmarkEnd w:id="29"/>
      <w:bookmarkEnd w:id="30"/>
    </w:p>
    <w:p>
      <w:pPr>
        <w:pStyle w:val="style0"/>
        <w:rPr/>
      </w:pPr>
    </w:p>
    <w:p>
      <w:pPr>
        <w:pStyle w:val="style0"/>
        <w:rPr/>
      </w:pPr>
      <w:r>
        <w:t xml:space="preserve">Αρχικά, θα γίνει ένας έλεγχος των διαφορών </w:t>
      </w:r>
      <w:r>
        <w:rPr>
          <w:lang w:val="en-US"/>
        </w:rPr>
        <w:t>band</w:t>
      </w:r>
      <w:r>
        <w:t xml:space="preserve"> </w:t>
      </w:r>
      <w:r>
        <w:rPr>
          <w:lang w:val="en-US"/>
        </w:rPr>
        <w:t>gap</w:t>
      </w:r>
      <w:r>
        <w:t xml:space="preserve"> </w:t>
      </w:r>
      <w:r>
        <w:t>στην δομή με πυρήνα και χωρίς</w:t>
      </w:r>
      <w:r>
        <w:t xml:space="preserve"> πυρήνα.</w:t>
      </w:r>
    </w:p>
    <w:p>
      <w:pPr>
        <w:pStyle w:val="style0"/>
        <w:keepNext/>
        <w:jc w:val="center"/>
        <w:rPr/>
      </w:pPr>
      <w:r>
        <w:rPr>
          <w:noProof/>
        </w:rPr>
        <w:drawing>
          <wp:inline distL="0" distT="0" distB="0" distR="0">
            <wp:extent cx="4096512" cy="1947672"/>
            <wp:effectExtent l="0" t="0" r="0" b="0"/>
            <wp:docPr id="1036" name="Εικόνα 2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 name="Εικόνα 21"/>
                    <pic:cNvPicPr/>
                  </pic:nvPicPr>
                  <pic:blipFill>
                    <a:blip r:embed="rId7" cstate="print"/>
                    <a:srcRect l="0" t="0" r="0" b="0"/>
                    <a:stretch/>
                  </pic:blipFill>
                  <pic:spPr>
                    <a:xfrm rot="0">
                      <a:off x="0" y="0"/>
                      <a:ext cx="4096512" cy="1947672"/>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10</w:t>
      </w:r>
      <w:r>
        <w:rPr/>
        <w:fldChar w:fldCharType="end"/>
      </w:r>
      <w:r>
        <w:t xml:space="preserve"> </w:t>
      </w:r>
      <w:r>
        <w:t>Δομή με κυκλικό έγκλεισμα (πυρήνα)</w:t>
      </w:r>
    </w:p>
    <w:p>
      <w:pPr>
        <w:pStyle w:val="style0"/>
        <w:keepNext/>
        <w:jc w:val="center"/>
        <w:rPr/>
      </w:pPr>
      <w:r>
        <w:rPr>
          <w:noProof/>
        </w:rPr>
        <w:drawing>
          <wp:inline distL="0" distT="0" distB="0" distR="0">
            <wp:extent cx="4096512" cy="1947672"/>
            <wp:effectExtent l="0" t="0" r="0" b="0"/>
            <wp:docPr id="1037" name="Εικόνα 2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0" name="Εικόνα 22"/>
                    <pic:cNvPicPr/>
                  </pic:nvPicPr>
                  <pic:blipFill>
                    <a:blip r:embed="rId12" cstate="print"/>
                    <a:srcRect l="0" t="0" r="0" b="0"/>
                    <a:stretch/>
                  </pic:blipFill>
                  <pic:spPr>
                    <a:xfrm rot="0">
                      <a:off x="0" y="0"/>
                      <a:ext cx="4096512" cy="1947672"/>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11</w:t>
      </w:r>
      <w:r>
        <w:rPr/>
        <w:fldChar w:fldCharType="end"/>
      </w:r>
      <w:r>
        <w:t xml:space="preserve"> Δομή δίχως κυκλικό έγκλεισμα</w:t>
      </w:r>
    </w:p>
    <w:p>
      <w:pPr>
        <w:pStyle w:val="style0"/>
        <w:rPr/>
      </w:pPr>
      <w:r>
        <w:t xml:space="preserve">Στα επόμενα διαγράμματα οι περιοχές που βρίσκονται μέσα στο γκρι κουτί είναι κάποια από τα εύρη του </w:t>
      </w:r>
      <w:r>
        <w:rPr>
          <w:lang w:val="en-US"/>
        </w:rPr>
        <w:t>band</w:t>
      </w:r>
      <w:r>
        <w:t xml:space="preserve"> </w:t>
      </w:r>
      <w:r>
        <w:rPr>
          <w:lang w:val="en-US"/>
        </w:rPr>
        <w:t>gap</w:t>
      </w:r>
      <w:r>
        <w:t>, αυτά που είναι αρκετά μεγάλα για να φανούν στο διάγραμμα με γυμνό μάτι.</w:t>
      </w:r>
    </w:p>
    <w:p>
      <w:pPr>
        <w:pStyle w:val="style0"/>
        <w:rPr/>
      </w:pPr>
      <w:r>
        <w:t xml:space="preserve">Η δομή δίχως πυρήνα δίνει το εξής διάγραμμα: </w:t>
      </w:r>
    </w:p>
    <w:p>
      <w:pPr>
        <w:pStyle w:val="style0"/>
        <w:keepNext/>
        <w:jc w:val="center"/>
        <w:rPr/>
      </w:pPr>
      <w:r>
        <w:rPr>
          <w:noProof/>
        </w:rPr>
        <w:drawing>
          <wp:inline distL="0" distT="0" distB="0" distR="0">
            <wp:extent cx="5274310" cy="2473960"/>
            <wp:effectExtent l="0" t="0" r="2540" b="2540"/>
            <wp:docPr id="1038" name="Εικόνα 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1" name="Εικόνα 3"/>
                    <pic:cNvPicPr/>
                  </pic:nvPicPr>
                  <pic:blipFill>
                    <a:blip r:embed="rId13" cstate="print"/>
                    <a:srcRect l="0" t="0" r="0" b="0"/>
                    <a:stretch/>
                  </pic:blipFill>
                  <pic:spPr>
                    <a:xfrm rot="0">
                      <a:off x="0" y="0"/>
                      <a:ext cx="5274310" cy="2473960"/>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12</w:t>
      </w:r>
      <w:r>
        <w:rPr/>
        <w:fldChar w:fldCharType="end"/>
      </w:r>
      <w:r>
        <w:t xml:space="preserve"> Διάγραμμα απόκρισης δομής δίχως κυκλικό έγκλεισμα</w:t>
      </w:r>
    </w:p>
    <w:p>
      <w:pPr>
        <w:pStyle w:val="style0"/>
        <w:rPr/>
      </w:pPr>
      <w:r>
        <w:t xml:space="preserve">Στο διάγραμμα </w:t>
      </w:r>
      <w:r>
        <w:t>φαίνεται</w:t>
      </w:r>
      <w:r>
        <w:t xml:space="preserve"> συνολικά </w:t>
      </w:r>
      <w:r>
        <w:t xml:space="preserve">7 </w:t>
      </w:r>
      <w:r>
        <w:t xml:space="preserve">ολικά </w:t>
      </w:r>
      <w:r>
        <w:rPr>
          <w:lang w:val="en-US"/>
        </w:rPr>
        <w:t>band</w:t>
      </w:r>
      <w:r>
        <w:t xml:space="preserve"> </w:t>
      </w:r>
      <w:r>
        <w:rPr>
          <w:lang w:val="en-US"/>
        </w:rPr>
        <w:t>gaps</w:t>
      </w:r>
      <w:r>
        <w:t>,</w:t>
      </w:r>
      <w:r>
        <w:t xml:space="preserve"> </w:t>
      </w:r>
      <w:r>
        <w:t>ανάμεσα σε 12</w:t>
      </w:r>
      <w:r>
        <w:rPr>
          <w:vertAlign w:val="superscript"/>
        </w:rPr>
        <w:t>η</w:t>
      </w:r>
      <w:r>
        <w:t xml:space="preserve"> με 13</w:t>
      </w:r>
      <w:r>
        <w:rPr>
          <w:vertAlign w:val="superscript"/>
        </w:rPr>
        <w:t>η</w:t>
      </w:r>
      <w:r>
        <w:t xml:space="preserve"> ιδιοσυχνότητα ( 10899- 11051</w:t>
      </w:r>
      <w:r>
        <w:t xml:space="preserve"> </w:t>
      </w:r>
      <w:r>
        <w:rPr>
          <w:lang w:val="en-US"/>
        </w:rPr>
        <w:t>Hz</w:t>
      </w:r>
      <w:r>
        <w:t>),</w:t>
      </w:r>
      <w:r>
        <w:t xml:space="preserve"> σε 13</w:t>
      </w:r>
      <w:r>
        <w:rPr>
          <w:vertAlign w:val="superscript"/>
        </w:rPr>
        <w:t>η</w:t>
      </w:r>
      <w:r>
        <w:t xml:space="preserve"> και 14</w:t>
      </w:r>
      <w:r>
        <w:rPr>
          <w:vertAlign w:val="superscript"/>
        </w:rPr>
        <w:t>η</w:t>
      </w:r>
      <w:r>
        <w:t xml:space="preserve"> ιδιοσυχνότητα (11283- 11446 </w:t>
      </w:r>
      <w:r>
        <w:rPr>
          <w:lang w:val="en-US"/>
        </w:rPr>
        <w:t>Hz</w:t>
      </w:r>
      <w:r>
        <w:t>)</w:t>
      </w:r>
      <w:r>
        <w:t>, σε 14</w:t>
      </w:r>
      <w:r>
        <w:rPr>
          <w:vertAlign w:val="superscript"/>
        </w:rPr>
        <w:t>η</w:t>
      </w:r>
      <w:r>
        <w:t xml:space="preserve"> και 15</w:t>
      </w:r>
      <w:r>
        <w:rPr>
          <w:vertAlign w:val="superscript"/>
        </w:rPr>
        <w:t>η</w:t>
      </w:r>
      <w:r>
        <w:t xml:space="preserve"> ιδιοσυχνότητα (11520-13863 </w:t>
      </w:r>
      <w:r>
        <w:rPr>
          <w:lang w:val="en-US"/>
        </w:rPr>
        <w:t>Hz</w:t>
      </w:r>
      <w:r>
        <w:t xml:space="preserve">), </w:t>
      </w:r>
      <w:r>
        <w:t>σε 16</w:t>
      </w:r>
      <w:r>
        <w:rPr>
          <w:vertAlign w:val="superscript"/>
        </w:rPr>
        <w:t>η</w:t>
      </w:r>
      <w:r>
        <w:t xml:space="preserve"> και 17</w:t>
      </w:r>
      <w:r>
        <w:rPr>
          <w:vertAlign w:val="superscript"/>
        </w:rPr>
        <w:t>η</w:t>
      </w:r>
      <w:r>
        <w:t xml:space="preserve"> ιδιοσυχνότητα (13950- 14006 </w:t>
      </w:r>
      <w:r>
        <w:rPr>
          <w:lang w:val="en-US"/>
        </w:rPr>
        <w:t>Hz</w:t>
      </w:r>
      <w:r>
        <w:t>)</w:t>
      </w:r>
      <w:r>
        <w:t>, σε 17</w:t>
      </w:r>
      <w:r>
        <w:rPr>
          <w:vertAlign w:val="superscript"/>
        </w:rPr>
        <w:t>η</w:t>
      </w:r>
      <w:r>
        <w:t xml:space="preserve"> και 18</w:t>
      </w:r>
      <w:r>
        <w:rPr>
          <w:vertAlign w:val="superscript"/>
        </w:rPr>
        <w:t>η</w:t>
      </w:r>
      <w:r>
        <w:t xml:space="preserve"> ιδιοσυχνότητα (14013- 14205</w:t>
      </w:r>
      <w:r>
        <w:t xml:space="preserve"> </w:t>
      </w:r>
      <w:r>
        <w:rPr>
          <w:lang w:val="en-US"/>
        </w:rPr>
        <w:t>Hz</w:t>
      </w:r>
      <w:r>
        <w:t>)</w:t>
      </w:r>
      <w:r>
        <w:t>, σε 18</w:t>
      </w:r>
      <w:r>
        <w:rPr>
          <w:vertAlign w:val="superscript"/>
        </w:rPr>
        <w:t>η</w:t>
      </w:r>
      <w:r>
        <w:t xml:space="preserve"> και 19</w:t>
      </w:r>
      <w:r>
        <w:rPr>
          <w:vertAlign w:val="superscript"/>
        </w:rPr>
        <w:t>η</w:t>
      </w:r>
      <w:r>
        <w:t xml:space="preserve"> ιδιοσυχνότητα (14314- 14421 </w:t>
      </w:r>
      <w:r>
        <w:rPr>
          <w:lang w:val="en-US"/>
        </w:rPr>
        <w:t>Hz</w:t>
      </w:r>
      <w:r>
        <w:t xml:space="preserve">) </w:t>
      </w:r>
      <w:r>
        <w:t>και σε 19</w:t>
      </w:r>
      <w:r>
        <w:rPr>
          <w:vertAlign w:val="superscript"/>
        </w:rPr>
        <w:t>η</w:t>
      </w:r>
      <w:r>
        <w:t xml:space="preserve"> με 20</w:t>
      </w:r>
      <w:r>
        <w:rPr>
          <w:vertAlign w:val="superscript"/>
        </w:rPr>
        <w:t>η</w:t>
      </w:r>
      <w:r>
        <w:t xml:space="preserve"> ιδιοσυχνότητα (14493-14850 </w:t>
      </w:r>
      <w:r>
        <w:rPr>
          <w:lang w:val="en-US"/>
        </w:rPr>
        <w:t>Hz</w:t>
      </w:r>
      <w:r>
        <w:t>)</w:t>
      </w:r>
      <w:r>
        <w:t>.</w:t>
      </w:r>
    </w:p>
    <w:p>
      <w:pPr>
        <w:pStyle w:val="style0"/>
        <w:rPr/>
      </w:pPr>
      <w:r>
        <w:t>Η δομή με πυρήνα δίνει το εξής διάγραμμα:</w:t>
      </w:r>
    </w:p>
    <w:p>
      <w:pPr>
        <w:pStyle w:val="style0"/>
        <w:keepNext/>
        <w:jc w:val="center"/>
        <w:rPr/>
      </w:pPr>
      <w:r>
        <w:rPr>
          <w:noProof/>
        </w:rPr>
        <w:drawing>
          <wp:inline distL="0" distT="0" distB="0" distR="0">
            <wp:extent cx="5274310" cy="2502535"/>
            <wp:effectExtent l="0" t="0" r="2540" b="0"/>
            <wp:docPr id="1039" name="Εικόνα 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2" name="Εικόνα 7"/>
                    <pic:cNvPicPr/>
                  </pic:nvPicPr>
                  <pic:blipFill>
                    <a:blip r:embed="rId14" cstate="print"/>
                    <a:srcRect l="0" t="0" r="0" b="0"/>
                    <a:stretch/>
                  </pic:blipFill>
                  <pic:spPr>
                    <a:xfrm rot="0">
                      <a:off x="0" y="0"/>
                      <a:ext cx="5274310" cy="2502535"/>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13</w:t>
      </w:r>
      <w:r>
        <w:rPr/>
        <w:fldChar w:fldCharType="end"/>
      </w:r>
      <w:r>
        <w:t xml:space="preserve"> Διάγραμμα απόκρισης με κυκλικό έγκλεισμα</w:t>
      </w:r>
    </w:p>
    <w:p>
      <w:pPr>
        <w:pStyle w:val="style0"/>
        <w:rPr/>
      </w:pPr>
      <w:r>
        <w:t xml:space="preserve">Στο διάγραμμα </w:t>
      </w:r>
      <w:r>
        <w:t>φαίνεται</w:t>
      </w:r>
      <w:r>
        <w:t xml:space="preserve"> συνολικά 7 ολικά </w:t>
      </w:r>
      <w:r>
        <w:rPr>
          <w:lang w:val="en-US"/>
        </w:rPr>
        <w:t>band</w:t>
      </w:r>
      <w:r>
        <w:t xml:space="preserve"> </w:t>
      </w:r>
      <w:r>
        <w:rPr>
          <w:lang w:val="en-US"/>
        </w:rPr>
        <w:t>gap</w:t>
      </w:r>
      <w:r>
        <w:t>, ανάμεσα σε 4</w:t>
      </w:r>
      <w:r>
        <w:rPr>
          <w:vertAlign w:val="superscript"/>
        </w:rPr>
        <w:t>η</w:t>
      </w:r>
      <w:r>
        <w:t xml:space="preserve"> και 5</w:t>
      </w:r>
      <w:r>
        <w:rPr>
          <w:vertAlign w:val="superscript"/>
        </w:rPr>
        <w:t>η</w:t>
      </w:r>
      <w:r>
        <w:t xml:space="preserve"> ιδιοσυχνότητα (</w:t>
      </w:r>
      <w:r>
        <w:t>3030- 3148</w:t>
      </w:r>
      <w:r>
        <w:t xml:space="preserve"> </w:t>
      </w:r>
      <w:r>
        <w:rPr>
          <w:lang w:val="en-US"/>
        </w:rPr>
        <w:t>Hz</w:t>
      </w:r>
      <w:r>
        <w:t xml:space="preserve">), </w:t>
      </w:r>
      <w:r>
        <w:t>σε 10</w:t>
      </w:r>
      <w:r>
        <w:rPr>
          <w:vertAlign w:val="superscript"/>
        </w:rPr>
        <w:t>η</w:t>
      </w:r>
      <w:r>
        <w:t xml:space="preserve"> και 11</w:t>
      </w:r>
      <w:r>
        <w:rPr>
          <w:vertAlign w:val="superscript"/>
        </w:rPr>
        <w:t>η</w:t>
      </w:r>
      <w:r>
        <w:t xml:space="preserve"> ιδιοσυχνότητα (9505- 9550 </w:t>
      </w:r>
      <w:r>
        <w:rPr>
          <w:lang w:val="en-US"/>
        </w:rPr>
        <w:t>Hz</w:t>
      </w:r>
      <w:r>
        <w:t>),</w:t>
      </w:r>
      <w:r>
        <w:t xml:space="preserve"> σε 11</w:t>
      </w:r>
      <w:r>
        <w:rPr>
          <w:vertAlign w:val="superscript"/>
        </w:rPr>
        <w:t>η</w:t>
      </w:r>
      <w:r>
        <w:t xml:space="preserve"> και 12</w:t>
      </w:r>
      <w:r>
        <w:rPr>
          <w:vertAlign w:val="superscript"/>
        </w:rPr>
        <w:t>η</w:t>
      </w:r>
      <w:r>
        <w:t xml:space="preserve"> ιδιοσυχνότητα (10025- 10494</w:t>
      </w:r>
      <w:r>
        <w:t xml:space="preserve"> </w:t>
      </w:r>
      <w:r>
        <w:rPr>
          <w:lang w:val="en-US"/>
        </w:rPr>
        <w:t>Hz</w:t>
      </w:r>
      <w:r>
        <w:t>)</w:t>
      </w:r>
      <w:r>
        <w:t>, σε 13</w:t>
      </w:r>
      <w:r>
        <w:rPr>
          <w:vertAlign w:val="superscript"/>
        </w:rPr>
        <w:t>η</w:t>
      </w:r>
      <w:r>
        <w:t xml:space="preserve"> και 14</w:t>
      </w:r>
      <w:r>
        <w:rPr>
          <w:vertAlign w:val="superscript"/>
        </w:rPr>
        <w:t>η</w:t>
      </w:r>
      <w:r>
        <w:t xml:space="preserve"> (10690- 13111 </w:t>
      </w:r>
      <w:r>
        <w:rPr>
          <w:lang w:val="en-US"/>
        </w:rPr>
        <w:t>Hz</w:t>
      </w:r>
      <w:r>
        <w:t>)</w:t>
      </w:r>
      <w:r>
        <w:t>, σε 14</w:t>
      </w:r>
      <w:r>
        <w:rPr>
          <w:vertAlign w:val="superscript"/>
        </w:rPr>
        <w:t>η</w:t>
      </w:r>
      <w:r>
        <w:t xml:space="preserve"> και 15</w:t>
      </w:r>
      <w:r>
        <w:rPr>
          <w:vertAlign w:val="superscript"/>
        </w:rPr>
        <w:t>η</w:t>
      </w:r>
      <w:r>
        <w:t xml:space="preserve"> (13346</w:t>
      </w:r>
      <w:r>
        <w:t xml:space="preserve">- 13576 </w:t>
      </w:r>
      <w:r>
        <w:rPr>
          <w:lang w:val="en-US"/>
        </w:rPr>
        <w:t>Hz</w:t>
      </w:r>
      <w:r>
        <w:t>),</w:t>
      </w:r>
      <w:r>
        <w:t xml:space="preserve"> σε 15</w:t>
      </w:r>
      <w:r>
        <w:rPr>
          <w:vertAlign w:val="superscript"/>
        </w:rPr>
        <w:t>η</w:t>
      </w:r>
      <w:r>
        <w:t xml:space="preserve"> και 16</w:t>
      </w:r>
      <w:r>
        <w:rPr>
          <w:vertAlign w:val="superscript"/>
        </w:rPr>
        <w:t>η</w:t>
      </w:r>
      <w:r>
        <w:t xml:space="preserve"> ιδιοσυχνότητα (13690- 14525</w:t>
      </w:r>
      <w:r>
        <w:t xml:space="preserve"> </w:t>
      </w:r>
      <w:r>
        <w:rPr>
          <w:lang w:val="en-US"/>
        </w:rPr>
        <w:t>Hz</w:t>
      </w:r>
      <w:r>
        <w:t xml:space="preserve">) </w:t>
      </w:r>
      <w:r>
        <w:t>και σε 17</w:t>
      </w:r>
      <w:r>
        <w:rPr>
          <w:vertAlign w:val="superscript"/>
        </w:rPr>
        <w:t>η</w:t>
      </w:r>
      <w:r>
        <w:t xml:space="preserve"> και 18</w:t>
      </w:r>
      <w:r>
        <w:rPr>
          <w:vertAlign w:val="superscript"/>
        </w:rPr>
        <w:t>η</w:t>
      </w:r>
      <w:r>
        <w:t xml:space="preserve"> ιδιοσυχνότητα (15000- 15390</w:t>
      </w:r>
      <w:r>
        <w:t xml:space="preserve"> </w:t>
      </w:r>
      <w:r>
        <w:rPr>
          <w:lang w:val="en-US"/>
        </w:rPr>
        <w:t>Hz</w:t>
      </w:r>
      <w:r>
        <w:t>)</w:t>
      </w:r>
      <w:r>
        <w:t>.</w:t>
      </w:r>
    </w:p>
    <w:p>
      <w:pPr>
        <w:pStyle w:val="style0"/>
        <w:rPr/>
      </w:pPr>
      <w:r>
        <w:t>Παρατηρείται</w:t>
      </w:r>
      <w:r>
        <w:t xml:space="preserve"> ότι ενώ ο αριθμός </w:t>
      </w:r>
      <w:r>
        <w:rPr>
          <w:lang w:val="en-US"/>
        </w:rPr>
        <w:t>band</w:t>
      </w:r>
      <w:r>
        <w:t xml:space="preserve"> </w:t>
      </w:r>
      <w:r>
        <w:rPr>
          <w:lang w:val="en-US"/>
        </w:rPr>
        <w:t>gap</w:t>
      </w:r>
      <w:r>
        <w:t xml:space="preserve"> </w:t>
      </w:r>
      <w:r>
        <w:t>παραμένει ο ίδιος, στη δομή με τον πυρήνα ξεκινάνε από πιο χαμηλές</w:t>
      </w:r>
      <w:r>
        <w:t xml:space="preserve"> </w:t>
      </w:r>
      <w:r>
        <w:t xml:space="preserve">(3030 </w:t>
      </w:r>
      <w:r>
        <w:rPr>
          <w:lang w:val="en-US"/>
        </w:rPr>
        <w:t>Hz</w:t>
      </w:r>
      <w:r>
        <w:t xml:space="preserve"> </w:t>
      </w:r>
      <w:r>
        <w:t xml:space="preserve">σε αντίθεση με 10899 </w:t>
      </w:r>
      <w:r>
        <w:rPr>
          <w:lang w:val="en-US"/>
        </w:rPr>
        <w:t>Hz</w:t>
      </w:r>
      <w:r>
        <w:t>)</w:t>
      </w:r>
      <w:r>
        <w:t xml:space="preserve"> συχνότητες και φτάνουν μέχρι και πιο υψηλές</w:t>
      </w:r>
      <w:r>
        <w:t xml:space="preserve"> (15000</w:t>
      </w:r>
      <w:r>
        <w:t xml:space="preserve"> </w:t>
      </w:r>
      <w:r>
        <w:rPr>
          <w:lang w:val="en-US"/>
        </w:rPr>
        <w:t>Hz</w:t>
      </w:r>
      <w:r>
        <w:t xml:space="preserve"> σε αντίθεση με </w:t>
      </w:r>
      <w:r>
        <w:t xml:space="preserve">14493 </w:t>
      </w:r>
      <w:r>
        <w:rPr>
          <w:lang w:val="en-US"/>
        </w:rPr>
        <w:t>Hz</w:t>
      </w:r>
      <w:r>
        <w:t>)</w:t>
      </w:r>
      <w:r>
        <w:t>. Επίσης,</w:t>
      </w:r>
      <w:r>
        <w:t xml:space="preserve"> φαίνεται</w:t>
      </w:r>
      <w:r>
        <w:t xml:space="preserve"> πως τ</w:t>
      </w:r>
      <w:r>
        <w:t>α</w:t>
      </w:r>
      <w:r>
        <w:t xml:space="preserve"> «μεγάλ</w:t>
      </w:r>
      <w:r>
        <w:t>α</w:t>
      </w:r>
      <w:r>
        <w:t xml:space="preserve">» </w:t>
      </w:r>
      <w:r>
        <w:t>χάσμα</w:t>
      </w:r>
      <w:r>
        <w:t>τα</w:t>
      </w:r>
      <w:r>
        <w:t xml:space="preserve"> ( τάξης 2300</w:t>
      </w:r>
      <w:r>
        <w:t xml:space="preserve"> </w:t>
      </w:r>
      <w:r>
        <w:rPr>
          <w:lang w:val="en-US"/>
        </w:rPr>
        <w:t>Hz</w:t>
      </w:r>
      <w:r>
        <w:t xml:space="preserve"> </w:t>
      </w:r>
      <w:r>
        <w:t>στην 1</w:t>
      </w:r>
      <w:r>
        <w:rPr>
          <w:vertAlign w:val="superscript"/>
        </w:rPr>
        <w:t>η</w:t>
      </w:r>
      <w:r>
        <w:t xml:space="preserve"> περίπτωση και 2500</w:t>
      </w:r>
      <w:r>
        <w:t xml:space="preserve"> </w:t>
      </w:r>
      <w:r>
        <w:rPr>
          <w:lang w:val="en-US"/>
        </w:rPr>
        <w:t>Hz</w:t>
      </w:r>
      <w:r>
        <w:t xml:space="preserve"> στην 2</w:t>
      </w:r>
      <w:r>
        <w:rPr>
          <w:vertAlign w:val="superscript"/>
        </w:rPr>
        <w:t>η</w:t>
      </w:r>
      <w:r>
        <w:t xml:space="preserve">) βρίσκονται σε πολύ κοντινές τιμές, 11520-13863 </w:t>
      </w:r>
      <w:r>
        <w:rPr>
          <w:lang w:val="en-US"/>
        </w:rPr>
        <w:t>Hz</w:t>
      </w:r>
      <w:r>
        <w:t xml:space="preserve"> </w:t>
      </w:r>
      <w:r>
        <w:t>στην 1</w:t>
      </w:r>
      <w:r>
        <w:rPr>
          <w:vertAlign w:val="superscript"/>
        </w:rPr>
        <w:t>η</w:t>
      </w:r>
      <w:r>
        <w:t xml:space="preserve"> περίπτωση και 10690-13111 </w:t>
      </w:r>
      <w:r>
        <w:rPr>
          <w:lang w:val="en-US"/>
        </w:rPr>
        <w:t>Hz</w:t>
      </w:r>
      <w:r>
        <w:t xml:space="preserve"> </w:t>
      </w:r>
      <w:r>
        <w:t>στη 2</w:t>
      </w:r>
      <w:r>
        <w:rPr>
          <w:vertAlign w:val="superscript"/>
        </w:rPr>
        <w:t>η</w:t>
      </w:r>
      <w:r>
        <w:t xml:space="preserve"> περίπτωση.</w:t>
      </w:r>
    </w:p>
    <w:p>
      <w:pPr>
        <w:pStyle w:val="style0"/>
        <w:rPr/>
      </w:pPr>
      <w:r>
        <w:t>Από εδώ και πέρα όλες οι συγκρίσεις θα γίνονται με το μοντέλο με τον πυρήνα.</w:t>
      </w:r>
    </w:p>
    <w:p>
      <w:pPr>
        <w:pStyle w:val="style0"/>
        <w:rPr/>
      </w:pPr>
    </w:p>
    <w:p>
      <w:pPr>
        <w:pStyle w:val="style0"/>
        <w:rPr>
          <w:rFonts w:ascii="Calibri Light" w:cs="宋体" w:eastAsia="宋体" w:hAnsi="Calibri Light"/>
          <w:color w:val="2f5496"/>
          <w:sz w:val="26"/>
          <w:szCs w:val="26"/>
        </w:rPr>
      </w:pPr>
    </w:p>
    <w:p>
      <w:pPr>
        <w:pStyle w:val="style0"/>
        <w:ind w:left="720" w:hanging="720"/>
        <w:rPr>
          <w:rFonts w:ascii="Calibri Light" w:cs="宋体" w:eastAsia="宋体" w:hAnsi="Calibri Light"/>
          <w:color w:val="2f5496"/>
          <w:sz w:val="26"/>
          <w:szCs w:val="26"/>
        </w:rPr>
      </w:pPr>
      <w:r>
        <w:br w:type="page"/>
      </w:r>
    </w:p>
    <w:bookmarkStart w:id="31" w:name="_Toc66524599"/>
    <w:bookmarkStart w:id="32" w:name="_Toc77270436"/>
    <w:p>
      <w:pPr>
        <w:pStyle w:val="style2"/>
        <w:rPr/>
      </w:pPr>
      <w:r>
        <w:t xml:space="preserve">Προσομοίωση με παραμετροποίηση ακτίνας σκελετού </w:t>
      </w:r>
      <w:r>
        <w:t>(</w:t>
      </w:r>
      <w:r>
        <w:rPr>
          <w:lang w:val="en-US"/>
        </w:rPr>
        <w:t>r</w:t>
      </w:r>
      <w:r>
        <w:t>)</w:t>
      </w:r>
      <w:bookmarkEnd w:id="31"/>
      <w:bookmarkEnd w:id="32"/>
    </w:p>
    <w:p>
      <w:pPr>
        <w:pStyle w:val="style0"/>
        <w:rPr/>
      </w:pPr>
    </w:p>
    <w:p>
      <w:pPr>
        <w:pStyle w:val="style0"/>
        <w:rPr/>
      </w:pPr>
      <w:r>
        <w:t xml:space="preserve">Στις επόμενες </w:t>
      </w:r>
      <w:r>
        <w:t>4</w:t>
      </w:r>
      <w:r>
        <w:t xml:space="preserve"> μελέτες, η ακτίνα του κελιού (</w:t>
      </w:r>
      <w:r>
        <w:rPr>
          <w:lang w:val="en-US"/>
        </w:rPr>
        <w:t>r</w:t>
      </w:r>
      <w:r>
        <w:t>)</w:t>
      </w:r>
      <w:r>
        <w:t xml:space="preserve"> θα μεταβάλλεται</w:t>
      </w:r>
      <w:r>
        <w:t xml:space="preserve"> </w:t>
      </w:r>
      <w:r>
        <w:t>το αρχικό 0</w:t>
      </w:r>
      <w:r>
        <w:t>.</w:t>
      </w:r>
      <w:r>
        <w:t>00</w:t>
      </w:r>
      <w:r>
        <w:t xml:space="preserve">5 </w:t>
      </w:r>
      <w:r>
        <w:rPr>
          <w:lang w:val="en-US"/>
        </w:rPr>
        <w:t>m</w:t>
      </w:r>
      <w:r>
        <w:t xml:space="preserve"> σε εύρος </w:t>
      </w:r>
      <w:r>
        <w:rPr>
          <w:rFonts w:cs="Calibri"/>
        </w:rPr>
        <w:t>±</w:t>
      </w:r>
      <w:r>
        <w:t>20%</w:t>
      </w:r>
      <w:r>
        <w:t xml:space="preserve"> (0.00</w:t>
      </w:r>
      <w:r>
        <w:t xml:space="preserve">4 </w:t>
      </w:r>
      <w:r>
        <w:rPr>
          <w:lang w:val="en-US"/>
        </w:rPr>
        <w:t>m</w:t>
      </w:r>
      <w:r>
        <w:t xml:space="preserve"> μέχρι 0</w:t>
      </w:r>
      <w:r>
        <w:t>.</w:t>
      </w:r>
      <w:r>
        <w:t>006</w:t>
      </w:r>
      <w:r>
        <w:t xml:space="preserve"> </w:t>
      </w:r>
      <w:r>
        <w:rPr>
          <w:lang w:val="en-US"/>
        </w:rPr>
        <w:t>m</w:t>
      </w:r>
      <w:r>
        <w:t>)</w:t>
      </w:r>
      <w:r>
        <w:t xml:space="preserve"> με βήμα 10% (0</w:t>
      </w:r>
      <w:r>
        <w:t>.</w:t>
      </w:r>
      <w:r>
        <w:t xml:space="preserve">0005 </w:t>
      </w:r>
      <w:r>
        <w:rPr>
          <w:lang w:val="en-US"/>
        </w:rPr>
        <w:t>m</w:t>
      </w:r>
      <w:r>
        <w:t xml:space="preserve">) </w:t>
      </w:r>
      <w:r>
        <w:t xml:space="preserve">. Αντίστοιχα, η τιμή του </w:t>
      </w:r>
      <w:r>
        <w:rPr>
          <w:lang w:val="en-US"/>
        </w:rPr>
        <w:t>r</w:t>
      </w:r>
      <w:r>
        <w:rPr>
          <w:vertAlign w:val="subscript"/>
          <w:lang w:val="en-US"/>
        </w:rPr>
        <w:t>c</w:t>
      </w:r>
      <w:r>
        <w:t>=</w:t>
      </w:r>
      <w:r>
        <w:rPr>
          <w:lang w:val="en-US"/>
        </w:rPr>
        <w:t>r</w:t>
      </w:r>
      <w:r>
        <w:t>/4</w:t>
      </w:r>
      <w:r>
        <w:t xml:space="preserve"> </w:t>
      </w:r>
      <w:r>
        <w:t xml:space="preserve">θα μεταβάλλεται μαζί με την τιμή του </w:t>
      </w:r>
      <w:r>
        <w:rPr>
          <w:lang w:val="en-US"/>
        </w:rPr>
        <w:t>r</w:t>
      </w:r>
      <w:r>
        <w:t>.</w:t>
      </w:r>
      <w:r>
        <w:t xml:space="preserve"> Σημειώνεται πως το</w:t>
      </w:r>
      <w:r>
        <w:t xml:space="preserve"> </w:t>
      </w:r>
      <w:r>
        <w:t xml:space="preserve">πάχος της δομής παραμένει σταθερό σε </w:t>
      </w:r>
      <w:r>
        <w:rPr>
          <w:lang w:val="en-US"/>
        </w:rPr>
        <w:t>t</w:t>
      </w:r>
      <w:r>
        <w:t>=0.000</w:t>
      </w:r>
      <w:r>
        <w:t xml:space="preserve">35 </w:t>
      </w:r>
      <w:r>
        <w:rPr>
          <w:lang w:val="en-US"/>
        </w:rPr>
        <w:t>m</w:t>
      </w:r>
      <w:r>
        <w:t>.</w:t>
      </w:r>
    </w:p>
    <w:p>
      <w:pPr>
        <w:pStyle w:val="style0"/>
        <w:rPr/>
      </w:pPr>
    </w:p>
    <w:p>
      <w:pPr>
        <w:pStyle w:val="style0"/>
        <w:rPr/>
      </w:pPr>
    </w:p>
    <w:bookmarkStart w:id="33" w:name="_Toc66524600"/>
    <w:bookmarkStart w:id="34" w:name="_Toc77270437"/>
    <w:p>
      <w:pPr>
        <w:pStyle w:val="style3"/>
        <w:rPr>
          <w:lang w:val="en-US"/>
        </w:rPr>
      </w:pPr>
      <w:r>
        <w:rPr>
          <w:lang w:val="en-US"/>
        </w:rPr>
        <w:t>r</w:t>
      </w:r>
      <w:r>
        <w:t>=0.00</w:t>
      </w:r>
      <w:r>
        <w:t>4</w:t>
      </w:r>
      <w:r>
        <w:t xml:space="preserve"> </w:t>
      </w:r>
      <w:r>
        <w:rPr>
          <w:lang w:val="en-US"/>
        </w:rPr>
        <w:t>m</w:t>
      </w:r>
      <w:bookmarkEnd w:id="33"/>
      <w:bookmarkEnd w:id="34"/>
    </w:p>
    <w:p>
      <w:pPr>
        <w:pStyle w:val="style0"/>
        <w:jc w:val="center"/>
        <w:rPr/>
      </w:pPr>
    </w:p>
    <w:p>
      <w:pPr>
        <w:pStyle w:val="style0"/>
        <w:keepNext/>
        <w:jc w:val="center"/>
        <w:rPr/>
      </w:pPr>
      <w:r>
        <w:rPr>
          <w:noProof/>
        </w:rPr>
        <w:drawing>
          <wp:inline distL="0" distT="0" distB="0" distR="0">
            <wp:extent cx="1828800" cy="1773936"/>
            <wp:effectExtent l="0" t="0" r="0" b="0"/>
            <wp:docPr id="1040" name="Εικόνα 1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3" name="Εικόνα 10"/>
                    <pic:cNvPicPr/>
                  </pic:nvPicPr>
                  <pic:blipFill>
                    <a:blip r:embed="rId15" cstate="print"/>
                    <a:srcRect l="0" t="0" r="0" b="0"/>
                    <a:stretch/>
                  </pic:blipFill>
                  <pic:spPr>
                    <a:xfrm rot="0">
                      <a:off x="0" y="0"/>
                      <a:ext cx="1828800" cy="1773936"/>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14</w:t>
      </w:r>
      <w:r>
        <w:rPr/>
        <w:fldChar w:fldCharType="end"/>
      </w:r>
      <w:r>
        <w:t xml:space="preserve"> Δομή με </w:t>
      </w:r>
      <w:r>
        <w:rPr>
          <w:lang w:val="en-US"/>
        </w:rPr>
        <w:t>r</w:t>
      </w:r>
      <w:r>
        <w:t>=0</w:t>
      </w:r>
      <w:r>
        <w:t>.</w:t>
      </w:r>
      <w:r>
        <w:t>004</w:t>
      </w:r>
      <w:r>
        <w:t xml:space="preserve"> </w:t>
      </w:r>
      <w:r>
        <w:rPr>
          <w:lang w:val="en-US"/>
        </w:rPr>
        <w:t>m</w:t>
      </w:r>
    </w:p>
    <w:p>
      <w:pPr>
        <w:pStyle w:val="style0"/>
        <w:rPr/>
      </w:pPr>
    </w:p>
    <w:p>
      <w:pPr>
        <w:pStyle w:val="style0"/>
        <w:rPr/>
      </w:pPr>
      <w:r>
        <w:t>Με διάγραμμα ιδιοσυχνοτήτων:</w:t>
      </w:r>
    </w:p>
    <w:p>
      <w:pPr>
        <w:pStyle w:val="style0"/>
        <w:jc w:val="center"/>
        <w:rPr/>
      </w:pPr>
    </w:p>
    <w:p>
      <w:pPr>
        <w:pStyle w:val="style0"/>
        <w:keepNext/>
        <w:jc w:val="center"/>
        <w:rPr/>
      </w:pPr>
      <w:r>
        <w:rPr>
          <w:noProof/>
        </w:rPr>
        <w:drawing>
          <wp:inline distL="0" distT="0" distB="0" distR="0">
            <wp:extent cx="5274310" cy="2505075"/>
            <wp:effectExtent l="0" t="0" r="2540" b="9525"/>
            <wp:docPr id="1041" name="Εικόνα 4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4" name="Εικόνα 43"/>
                    <pic:cNvPicPr/>
                  </pic:nvPicPr>
                  <pic:blipFill>
                    <a:blip r:embed="rId16" cstate="print"/>
                    <a:srcRect l="0" t="0" r="0" b="0"/>
                    <a:stretch/>
                  </pic:blipFill>
                  <pic:spPr>
                    <a:xfrm rot="0">
                      <a:off x="0" y="0"/>
                      <a:ext cx="5274310" cy="2505075"/>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15</w:t>
      </w:r>
      <w:r>
        <w:rPr/>
        <w:fldChar w:fldCharType="end"/>
      </w:r>
      <w:r>
        <w:t xml:space="preserve"> Διάγραμμα απόκρισης δομής με </w:t>
      </w:r>
      <w:r>
        <w:rPr>
          <w:lang w:val="en-US"/>
        </w:rPr>
        <w:t>r</w:t>
      </w:r>
      <w:r>
        <w:t>=0</w:t>
      </w:r>
      <w:r>
        <w:t>.</w:t>
      </w:r>
      <w:r>
        <w:t>004</w:t>
      </w:r>
      <w:r>
        <w:t xml:space="preserve"> </w:t>
      </w:r>
      <w:r>
        <w:rPr>
          <w:lang w:val="en-US"/>
        </w:rPr>
        <w:t>m</w:t>
      </w:r>
    </w:p>
    <w:p>
      <w:pPr>
        <w:pStyle w:val="style0"/>
        <w:jc w:val="center"/>
        <w:rPr/>
      </w:pPr>
    </w:p>
    <w:p>
      <w:pPr>
        <w:pStyle w:val="style0"/>
        <w:rPr/>
      </w:pPr>
      <w:r>
        <w:t xml:space="preserve">Στο διάγραμμα </w:t>
      </w:r>
      <w:r>
        <w:t>φαίν</w:t>
      </w:r>
      <w:r>
        <w:t>ον</w:t>
      </w:r>
      <w:r>
        <w:t>ται</w:t>
      </w:r>
      <w:r>
        <w:t xml:space="preserve"> συνολικά 6 ολικά </w:t>
      </w:r>
      <w:r>
        <w:rPr>
          <w:lang w:val="en-US"/>
        </w:rPr>
        <w:t>band</w:t>
      </w:r>
      <w:r>
        <w:t xml:space="preserve"> </w:t>
      </w:r>
      <w:r>
        <w:rPr>
          <w:lang w:val="en-US"/>
        </w:rPr>
        <w:t>gap</w:t>
      </w:r>
      <w:r>
        <w:t>. Πιο συγκεκριμένα, ανάμεσα σε 4</w:t>
      </w:r>
      <w:r>
        <w:rPr>
          <w:vertAlign w:val="superscript"/>
        </w:rPr>
        <w:t>η</w:t>
      </w:r>
      <w:r>
        <w:t xml:space="preserve"> και 5</w:t>
      </w:r>
      <w:r>
        <w:rPr>
          <w:vertAlign w:val="superscript"/>
        </w:rPr>
        <w:t>η</w:t>
      </w:r>
      <w:r>
        <w:t xml:space="preserve"> ιδιοσυχνότητα (3720- 3890 </w:t>
      </w:r>
      <w:r>
        <w:rPr>
          <w:lang w:val="en-US"/>
        </w:rPr>
        <w:t>Hz</w:t>
      </w:r>
      <w:r>
        <w:t>),</w:t>
      </w:r>
      <w:r>
        <w:t xml:space="preserve"> σε</w:t>
      </w:r>
      <w:r>
        <w:t xml:space="preserve"> </w:t>
      </w:r>
      <w:r>
        <w:t>9</w:t>
      </w:r>
      <w:r>
        <w:rPr>
          <w:vertAlign w:val="superscript"/>
        </w:rPr>
        <w:t>η</w:t>
      </w:r>
      <w:r>
        <w:t xml:space="preserve"> και 10</w:t>
      </w:r>
      <w:r>
        <w:rPr>
          <w:vertAlign w:val="superscript"/>
        </w:rPr>
        <w:t>η</w:t>
      </w:r>
      <w:r>
        <w:t xml:space="preserve"> ιδιοσυχνότητα (11065- 12010</w:t>
      </w:r>
      <w:r>
        <w:t xml:space="preserve"> </w:t>
      </w:r>
      <w:r>
        <w:rPr>
          <w:lang w:val="en-US"/>
        </w:rPr>
        <w:t>Hz</w:t>
      </w:r>
      <w:r>
        <w:t>),</w:t>
      </w:r>
      <w:r>
        <w:t>σε 10</w:t>
      </w:r>
      <w:r>
        <w:rPr>
          <w:vertAlign w:val="superscript"/>
        </w:rPr>
        <w:t>η</w:t>
      </w:r>
      <w:r>
        <w:t xml:space="preserve"> και 11</w:t>
      </w:r>
      <w:r>
        <w:rPr>
          <w:vertAlign w:val="superscript"/>
        </w:rPr>
        <w:t>η</w:t>
      </w:r>
      <w:r>
        <w:t xml:space="preserve"> (12275- 12326 </w:t>
      </w:r>
      <w:r>
        <w:rPr>
          <w:lang w:val="en-US"/>
        </w:rPr>
        <w:t>Hz</w:t>
      </w:r>
      <w:r>
        <w:t>),</w:t>
      </w:r>
      <w:r>
        <w:t xml:space="preserve"> </w:t>
      </w:r>
      <w:r>
        <w:t>σε 11</w:t>
      </w:r>
      <w:r>
        <w:rPr>
          <w:vertAlign w:val="superscript"/>
        </w:rPr>
        <w:t>η</w:t>
      </w:r>
      <w:r>
        <w:t xml:space="preserve"> και 12</w:t>
      </w:r>
      <w:r>
        <w:rPr>
          <w:vertAlign w:val="superscript"/>
        </w:rPr>
        <w:t>η</w:t>
      </w:r>
      <w:r>
        <w:t xml:space="preserve"> (12955- 13425</w:t>
      </w:r>
      <w:r>
        <w:t xml:space="preserve"> </w:t>
      </w:r>
      <w:r>
        <w:rPr>
          <w:lang w:val="en-US"/>
        </w:rPr>
        <w:t>Hz</w:t>
      </w:r>
      <w:r>
        <w:t>)</w:t>
      </w:r>
      <w:r>
        <w:t>, σε 13</w:t>
      </w:r>
      <w:r>
        <w:rPr>
          <w:vertAlign w:val="superscript"/>
        </w:rPr>
        <w:t>η</w:t>
      </w:r>
      <w:r>
        <w:t xml:space="preserve"> και 14</w:t>
      </w:r>
      <w:r>
        <w:rPr>
          <w:vertAlign w:val="superscript"/>
        </w:rPr>
        <w:t>η</w:t>
      </w:r>
      <w:r>
        <w:t xml:space="preserve"> (13600- 15660 </w:t>
      </w:r>
      <w:r>
        <w:rPr>
          <w:lang w:val="en-US"/>
        </w:rPr>
        <w:t>Hz</w:t>
      </w:r>
      <w:r>
        <w:t>)</w:t>
      </w:r>
      <w:r>
        <w:t xml:space="preserve"> και</w:t>
      </w:r>
      <w:r>
        <w:t xml:space="preserve"> </w:t>
      </w:r>
      <w:r>
        <w:t>σε 19</w:t>
      </w:r>
      <w:r>
        <w:rPr>
          <w:vertAlign w:val="superscript"/>
        </w:rPr>
        <w:t>η</w:t>
      </w:r>
      <w:r>
        <w:t xml:space="preserve"> με 20</w:t>
      </w:r>
      <w:r>
        <w:rPr>
          <w:vertAlign w:val="superscript"/>
        </w:rPr>
        <w:t>η</w:t>
      </w:r>
      <w:r>
        <w:t xml:space="preserve"> (19630- 20270 </w:t>
      </w:r>
      <w:r>
        <w:rPr>
          <w:lang w:val="en-US"/>
        </w:rPr>
        <w:t>Hz</w:t>
      </w:r>
      <w:r>
        <w:t>).</w:t>
      </w:r>
    </w:p>
    <w:bookmarkStart w:id="35" w:name="_Toc66524601"/>
    <w:bookmarkStart w:id="36" w:name="_Toc77270438"/>
    <w:p>
      <w:pPr>
        <w:pStyle w:val="style3"/>
        <w:rPr/>
      </w:pPr>
      <w:r>
        <w:rPr>
          <w:lang w:val="en-US"/>
        </w:rPr>
        <w:t>r</w:t>
      </w:r>
      <w:r>
        <w:t xml:space="preserve">=0.0045 </w:t>
      </w:r>
      <w:r>
        <w:rPr>
          <w:lang w:val="en-US"/>
        </w:rPr>
        <w:t>m</w:t>
      </w:r>
      <w:bookmarkEnd w:id="35"/>
      <w:bookmarkEnd w:id="36"/>
      <w:r>
        <w:t xml:space="preserve"> </w:t>
      </w:r>
    </w:p>
    <w:p>
      <w:pPr>
        <w:pStyle w:val="style0"/>
        <w:jc w:val="center"/>
        <w:rPr/>
      </w:pPr>
    </w:p>
    <w:p>
      <w:pPr>
        <w:pStyle w:val="style0"/>
        <w:keepNext/>
        <w:jc w:val="center"/>
        <w:rPr/>
      </w:pPr>
      <w:r>
        <w:rPr>
          <w:noProof/>
        </w:rPr>
        <w:drawing>
          <wp:inline distL="0" distT="0" distB="0" distR="0">
            <wp:extent cx="1828800" cy="1728216"/>
            <wp:effectExtent l="0" t="0" r="0" b="5715"/>
            <wp:docPr id="1042" name="Εικόνα 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5" name="Εικόνα 4"/>
                    <pic:cNvPicPr/>
                  </pic:nvPicPr>
                  <pic:blipFill>
                    <a:blip r:embed="rId17" cstate="print"/>
                    <a:srcRect l="0" t="0" r="0" b="0"/>
                    <a:stretch/>
                  </pic:blipFill>
                  <pic:spPr>
                    <a:xfrm rot="0">
                      <a:off x="0" y="0"/>
                      <a:ext cx="1828800" cy="1728216"/>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16</w:t>
      </w:r>
      <w:r>
        <w:rPr/>
        <w:fldChar w:fldCharType="end"/>
      </w:r>
      <w:r>
        <w:t xml:space="preserve"> </w:t>
      </w:r>
      <w:r>
        <w:t xml:space="preserve">Δομή με </w:t>
      </w:r>
      <w:r>
        <w:rPr>
          <w:lang w:val="en-US"/>
        </w:rPr>
        <w:t>r</w:t>
      </w:r>
      <w:r>
        <w:t>=0</w:t>
      </w:r>
      <w:r>
        <w:t>.</w:t>
      </w:r>
      <w:r>
        <w:t>0045</w:t>
      </w:r>
      <w:r>
        <w:t xml:space="preserve"> </w:t>
      </w:r>
      <w:r>
        <w:rPr>
          <w:lang w:val="en-US"/>
        </w:rPr>
        <w:t>m</w:t>
      </w:r>
    </w:p>
    <w:p>
      <w:pPr>
        <w:pStyle w:val="style0"/>
        <w:rPr/>
      </w:pPr>
      <w:r>
        <w:t>Με διάγραμμα ιδιοσυχνοτήτων:</w:t>
      </w:r>
    </w:p>
    <w:p>
      <w:pPr>
        <w:pStyle w:val="style0"/>
        <w:keepNext/>
        <w:tabs>
          <w:tab w:val="left" w:leader="none" w:pos="3240"/>
        </w:tabs>
        <w:jc w:val="center"/>
        <w:rPr/>
      </w:pPr>
      <w:r>
        <w:rPr>
          <w:noProof/>
        </w:rPr>
        <w:drawing>
          <wp:inline distL="0" distT="0" distB="0" distR="0">
            <wp:extent cx="5274310" cy="2505075"/>
            <wp:effectExtent l="0" t="0" r="2540" b="9525"/>
            <wp:docPr id="1043" name="Εικόνα 4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6" name="Εικόνα 45"/>
                    <pic:cNvPicPr/>
                  </pic:nvPicPr>
                  <pic:blipFill>
                    <a:blip r:embed="rId18" cstate="print"/>
                    <a:srcRect l="0" t="0" r="0" b="0"/>
                    <a:stretch/>
                  </pic:blipFill>
                  <pic:spPr>
                    <a:xfrm rot="0">
                      <a:off x="0" y="0"/>
                      <a:ext cx="5274310" cy="2505075"/>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17</w:t>
      </w:r>
      <w:r>
        <w:rPr/>
        <w:fldChar w:fldCharType="end"/>
      </w:r>
      <w:r>
        <w:t xml:space="preserve"> Διάγραμμα απόκρισης</w:t>
      </w:r>
      <w:r>
        <w:t xml:space="preserve"> </w:t>
      </w:r>
      <w:r>
        <w:t>δομής</w:t>
      </w:r>
      <w:r>
        <w:t xml:space="preserve"> με </w:t>
      </w:r>
      <w:r>
        <w:rPr>
          <w:lang w:val="en-US"/>
        </w:rPr>
        <w:t>r</w:t>
      </w:r>
      <w:r>
        <w:t>=0</w:t>
      </w:r>
      <w:r>
        <w:t>.</w:t>
      </w:r>
      <w:r>
        <w:t xml:space="preserve">0045 </w:t>
      </w:r>
      <w:r>
        <w:rPr>
          <w:lang w:val="en-US"/>
        </w:rPr>
        <w:t>m</w:t>
      </w:r>
    </w:p>
    <w:p>
      <w:pPr>
        <w:pStyle w:val="style0"/>
        <w:rPr/>
      </w:pPr>
      <w:r>
        <w:t xml:space="preserve">Στο διάγραμμα </w:t>
      </w:r>
      <w:r>
        <w:t>φαίν</w:t>
      </w:r>
      <w:r>
        <w:t>ον</w:t>
      </w:r>
      <w:r>
        <w:t>ται</w:t>
      </w:r>
      <w:r>
        <w:t xml:space="preserve"> συνολικά 8 ολικά </w:t>
      </w:r>
      <w:r>
        <w:rPr>
          <w:lang w:val="en-US"/>
        </w:rPr>
        <w:t>band</w:t>
      </w:r>
      <w:r>
        <w:t xml:space="preserve"> </w:t>
      </w:r>
      <w:r>
        <w:rPr>
          <w:lang w:val="en-US"/>
        </w:rPr>
        <w:t>gap</w:t>
      </w:r>
      <w:r>
        <w:t>. Ειδικότερα, σε 2</w:t>
      </w:r>
      <w:r>
        <w:rPr>
          <w:vertAlign w:val="superscript"/>
        </w:rPr>
        <w:t>η</w:t>
      </w:r>
      <w:r>
        <w:t xml:space="preserve"> και 3</w:t>
      </w:r>
      <w:r>
        <w:rPr>
          <w:vertAlign w:val="superscript"/>
        </w:rPr>
        <w:t>η</w:t>
      </w:r>
      <w:r>
        <w:t xml:space="preserve"> ιδιοσυχνότητα (2955-3020 </w:t>
      </w:r>
      <w:r>
        <w:rPr>
          <w:lang w:val="en-US"/>
        </w:rPr>
        <w:t>Hz</w:t>
      </w:r>
      <w:r>
        <w:t>)</w:t>
      </w:r>
      <w:r>
        <w:t>,</w:t>
      </w:r>
      <w:r>
        <w:t xml:space="preserve"> σε 4</w:t>
      </w:r>
      <w:r>
        <w:rPr>
          <w:vertAlign w:val="superscript"/>
        </w:rPr>
        <w:t>η</w:t>
      </w:r>
      <w:r>
        <w:t xml:space="preserve"> και 5</w:t>
      </w:r>
      <w:r>
        <w:rPr>
          <w:vertAlign w:val="superscript"/>
        </w:rPr>
        <w:t>η</w:t>
      </w:r>
      <w:r>
        <w:t xml:space="preserve"> ιδιοσυχνότητα (3290-</w:t>
      </w:r>
      <w:r>
        <w:t xml:space="preserve"> 3478</w:t>
      </w:r>
      <w:r>
        <w:t xml:space="preserve"> </w:t>
      </w:r>
      <w:r>
        <w:rPr>
          <w:lang w:val="en-US"/>
        </w:rPr>
        <w:t>Hz</w:t>
      </w:r>
      <w:r>
        <w:t>)</w:t>
      </w:r>
      <w:r>
        <w:t>, σε 9</w:t>
      </w:r>
      <w:r>
        <w:rPr>
          <w:vertAlign w:val="superscript"/>
        </w:rPr>
        <w:t>η</w:t>
      </w:r>
      <w:r>
        <w:t xml:space="preserve"> και 10</w:t>
      </w:r>
      <w:r>
        <w:rPr>
          <w:vertAlign w:val="superscript"/>
        </w:rPr>
        <w:t>η</w:t>
      </w:r>
      <w:r>
        <w:t xml:space="preserve"> ιδιοσυχνότητα (</w:t>
      </w:r>
      <w:r>
        <w:t>9750-</w:t>
      </w:r>
      <w:r>
        <w:t xml:space="preserve"> 9793 </w:t>
      </w:r>
      <w:r>
        <w:rPr>
          <w:lang w:val="en-US"/>
        </w:rPr>
        <w:t>Hz</w:t>
      </w:r>
      <w:r>
        <w:t>),</w:t>
      </w:r>
      <w:r>
        <w:t xml:space="preserve"> σε 10</w:t>
      </w:r>
      <w:r>
        <w:rPr>
          <w:vertAlign w:val="superscript"/>
        </w:rPr>
        <w:t>η</w:t>
      </w:r>
      <w:r>
        <w:t xml:space="preserve"> και 11</w:t>
      </w:r>
      <w:r>
        <w:rPr>
          <w:vertAlign w:val="superscript"/>
        </w:rPr>
        <w:t>η</w:t>
      </w:r>
      <w:r>
        <w:t xml:space="preserve"> ιδιοσυχνότητα (10320- </w:t>
      </w:r>
      <w:r>
        <w:t xml:space="preserve">10722 </w:t>
      </w:r>
      <w:r>
        <w:rPr>
          <w:lang w:val="en-US"/>
        </w:rPr>
        <w:t>Hz</w:t>
      </w:r>
      <w:r>
        <w:t>), σε 11</w:t>
      </w:r>
      <w:r>
        <w:rPr>
          <w:vertAlign w:val="superscript"/>
        </w:rPr>
        <w:t>η</w:t>
      </w:r>
      <w:r>
        <w:t xml:space="preserve"> και 12</w:t>
      </w:r>
      <w:r>
        <w:rPr>
          <w:vertAlign w:val="superscript"/>
        </w:rPr>
        <w:t>η</w:t>
      </w:r>
      <w:r>
        <w:t xml:space="preserve"> ιδιοσυχνότητα (</w:t>
      </w:r>
      <w:r>
        <w:t xml:space="preserve">10870- </w:t>
      </w:r>
      <w:r>
        <w:t xml:space="preserve">11780 </w:t>
      </w:r>
      <w:r>
        <w:rPr>
          <w:lang w:val="en-US"/>
        </w:rPr>
        <w:t>Hz</w:t>
      </w:r>
      <w:r>
        <w:t>), σε 13</w:t>
      </w:r>
      <w:r>
        <w:rPr>
          <w:vertAlign w:val="superscript"/>
        </w:rPr>
        <w:t>η</w:t>
      </w:r>
      <w:r>
        <w:t xml:space="preserve"> και 14</w:t>
      </w:r>
      <w:r>
        <w:rPr>
          <w:vertAlign w:val="superscript"/>
        </w:rPr>
        <w:t>η</w:t>
      </w:r>
      <w:r>
        <w:t xml:space="preserve"> ιδιοσυχνότητα (</w:t>
      </w:r>
      <w:r>
        <w:t xml:space="preserve">11972- </w:t>
      </w:r>
      <w:r>
        <w:t xml:space="preserve">14717 </w:t>
      </w:r>
      <w:r>
        <w:rPr>
          <w:lang w:val="en-US"/>
        </w:rPr>
        <w:t>Hz</w:t>
      </w:r>
      <w:r>
        <w:t>), σε 14</w:t>
      </w:r>
      <w:r>
        <w:rPr>
          <w:vertAlign w:val="superscript"/>
        </w:rPr>
        <w:t>η</w:t>
      </w:r>
      <w:r>
        <w:t xml:space="preserve"> και 15</w:t>
      </w:r>
      <w:r>
        <w:rPr>
          <w:vertAlign w:val="superscript"/>
        </w:rPr>
        <w:t>η</w:t>
      </w:r>
      <w:r>
        <w:t xml:space="preserve"> (</w:t>
      </w:r>
      <w:r>
        <w:t xml:space="preserve">14914- </w:t>
      </w:r>
      <w:r>
        <w:t xml:space="preserve">15144 </w:t>
      </w:r>
      <w:r>
        <w:rPr>
          <w:lang w:val="en-US"/>
        </w:rPr>
        <w:t>Hz</w:t>
      </w:r>
      <w:r>
        <w:t>) και σε 19</w:t>
      </w:r>
      <w:r>
        <w:rPr>
          <w:vertAlign w:val="superscript"/>
        </w:rPr>
        <w:t>η</w:t>
      </w:r>
      <w:r>
        <w:t xml:space="preserve"> και 20</w:t>
      </w:r>
      <w:r>
        <w:rPr>
          <w:vertAlign w:val="superscript"/>
        </w:rPr>
        <w:t>η</w:t>
      </w:r>
      <w:r>
        <w:t xml:space="preserve"> ιδιοσυχνότητα</w:t>
      </w:r>
      <w:r>
        <w:t xml:space="preserve"> </w:t>
      </w:r>
      <w:r>
        <w:t>(</w:t>
      </w:r>
      <w:r>
        <w:t>177</w:t>
      </w:r>
      <w:r>
        <w:t>7</w:t>
      </w:r>
      <w:r>
        <w:t>5</w:t>
      </w:r>
      <w:r>
        <w:t xml:space="preserve">- 17780 </w:t>
      </w:r>
      <w:r>
        <w:rPr>
          <w:lang w:val="en-US"/>
        </w:rPr>
        <w:t>Hz</w:t>
      </w:r>
      <w:r>
        <w:t>).</w:t>
      </w:r>
    </w:p>
    <w:p>
      <w:pPr>
        <w:pStyle w:val="style0"/>
        <w:rPr>
          <w:rFonts w:ascii="Calibri Light" w:cs="宋体" w:eastAsia="宋体" w:hAnsi="Calibri Light"/>
          <w:color w:val="1f3763"/>
          <w:sz w:val="24"/>
          <w:szCs w:val="24"/>
        </w:rPr>
      </w:pPr>
      <w:r>
        <w:t xml:space="preserve"> </w:t>
      </w:r>
      <w:r>
        <w:br w:type="page"/>
      </w:r>
    </w:p>
    <w:bookmarkStart w:id="37" w:name="_Toc66524602"/>
    <w:bookmarkStart w:id="38" w:name="_Toc77270439"/>
    <w:p>
      <w:pPr>
        <w:pStyle w:val="style3"/>
        <w:rPr/>
      </w:pPr>
      <w:r>
        <w:rPr>
          <w:lang w:val="en-US"/>
        </w:rPr>
        <w:t>r</w:t>
      </w:r>
      <w:r>
        <w:t xml:space="preserve">=0.0055 </w:t>
      </w:r>
      <w:r>
        <w:rPr>
          <w:lang w:val="en-US"/>
        </w:rPr>
        <w:t>m</w:t>
      </w:r>
      <w:bookmarkEnd w:id="37"/>
      <w:bookmarkEnd w:id="38"/>
      <w:r>
        <w:t xml:space="preserve"> </w:t>
      </w:r>
    </w:p>
    <w:p>
      <w:pPr>
        <w:pStyle w:val="style0"/>
        <w:jc w:val="center"/>
        <w:rPr/>
      </w:pPr>
    </w:p>
    <w:bookmarkStart w:id="39" w:name="_Hlk66522587"/>
    <w:p>
      <w:pPr>
        <w:pStyle w:val="style0"/>
        <w:keepNext/>
        <w:jc w:val="center"/>
        <w:rPr/>
      </w:pPr>
      <w:r>
        <w:rPr>
          <w:noProof/>
        </w:rPr>
        <w:drawing>
          <wp:inline distL="0" distT="0" distB="0" distR="0">
            <wp:extent cx="1828800" cy="1719072"/>
            <wp:effectExtent l="0" t="0" r="0" b="0"/>
            <wp:docPr id="1044" name="Εικόνα 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7" name="Εικόνα 9"/>
                    <pic:cNvPicPr/>
                  </pic:nvPicPr>
                  <pic:blipFill>
                    <a:blip r:embed="rId19" cstate="print"/>
                    <a:srcRect l="0" t="0" r="0" b="0"/>
                    <a:stretch/>
                  </pic:blipFill>
                  <pic:spPr>
                    <a:xfrm rot="0">
                      <a:off x="0" y="0"/>
                      <a:ext cx="1828800" cy="1719072"/>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18</w:t>
      </w:r>
      <w:r>
        <w:rPr/>
        <w:fldChar w:fldCharType="end"/>
      </w:r>
      <w:r>
        <w:t xml:space="preserve"> Δομή με </w:t>
      </w:r>
      <w:r>
        <w:rPr>
          <w:lang w:val="en-US"/>
        </w:rPr>
        <w:t>r</w:t>
      </w:r>
      <w:r>
        <w:t>=0</w:t>
      </w:r>
      <w:r>
        <w:t>.</w:t>
      </w:r>
      <w:r>
        <w:t xml:space="preserve">0055 </w:t>
      </w:r>
      <w:r>
        <w:rPr>
          <w:lang w:val="en-US"/>
        </w:rPr>
        <w:t>m</w:t>
      </w:r>
    </w:p>
    <w:p>
      <w:pPr>
        <w:pStyle w:val="style0"/>
        <w:rPr/>
      </w:pPr>
      <w:r>
        <w:t>Με διάγραμμα ιδιοσυχνοτήτων:</w:t>
      </w:r>
    </w:p>
    <w:p>
      <w:pPr>
        <w:pStyle w:val="style0"/>
        <w:keepNext/>
        <w:jc w:val="center"/>
        <w:rPr/>
      </w:pPr>
      <w:r>
        <w:rPr>
          <w:noProof/>
        </w:rPr>
        <w:drawing>
          <wp:inline distL="0" distT="0" distB="0" distR="0">
            <wp:extent cx="5274310" cy="2505075"/>
            <wp:effectExtent l="0" t="0" r="2540" b="9525"/>
            <wp:docPr id="1045" name="Εικόνα 5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8" name="Εικόνα 50"/>
                    <pic:cNvPicPr/>
                  </pic:nvPicPr>
                  <pic:blipFill>
                    <a:blip r:embed="rId20" cstate="print"/>
                    <a:srcRect l="0" t="0" r="0" b="0"/>
                    <a:stretch/>
                  </pic:blipFill>
                  <pic:spPr>
                    <a:xfrm rot="0">
                      <a:off x="0" y="0"/>
                      <a:ext cx="5274310" cy="2505075"/>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19</w:t>
      </w:r>
      <w:r>
        <w:rPr/>
        <w:fldChar w:fldCharType="end"/>
      </w:r>
      <w:r>
        <w:t xml:space="preserve"> </w:t>
      </w:r>
      <w:r>
        <w:t xml:space="preserve">Διάγραμμα απόκρισης δομής με </w:t>
      </w:r>
      <w:r>
        <w:rPr>
          <w:lang w:val="en-US"/>
        </w:rPr>
        <w:t>r</w:t>
      </w:r>
      <w:r>
        <w:t>=0</w:t>
      </w:r>
      <w:r>
        <w:t>.</w:t>
      </w:r>
      <w:r>
        <w:t xml:space="preserve">0055 </w:t>
      </w:r>
      <w:r>
        <w:rPr>
          <w:lang w:val="en-US"/>
        </w:rPr>
        <w:t>m</w:t>
      </w:r>
    </w:p>
    <w:p>
      <w:pPr>
        <w:pStyle w:val="style0"/>
        <w:rPr/>
      </w:pPr>
    </w:p>
    <w:p>
      <w:pPr>
        <w:pStyle w:val="style0"/>
        <w:rPr/>
      </w:pPr>
      <w:r>
        <w:t xml:space="preserve">Στο διάγραμμα </w:t>
      </w:r>
      <w:r>
        <w:t>φαίν</w:t>
      </w:r>
      <w:r>
        <w:t>ον</w:t>
      </w:r>
      <w:r>
        <w:t>ται</w:t>
      </w:r>
      <w:r>
        <w:t xml:space="preserve"> συνολικά</w:t>
      </w:r>
      <w:r>
        <w:t xml:space="preserve"> </w:t>
      </w:r>
      <w:r>
        <w:t>7</w:t>
      </w:r>
      <w:r>
        <w:t xml:space="preserve"> ολικά </w:t>
      </w:r>
      <w:r>
        <w:rPr>
          <w:lang w:val="en-US"/>
        </w:rPr>
        <w:t>Band</w:t>
      </w:r>
      <w:r>
        <w:t xml:space="preserve"> </w:t>
      </w:r>
      <w:r>
        <w:rPr>
          <w:lang w:val="en-US"/>
        </w:rPr>
        <w:t>gaps</w:t>
      </w:r>
      <w:r>
        <w:t>.</w:t>
      </w:r>
      <w:r>
        <w:t xml:space="preserve"> Ανάμεσα σε 4</w:t>
      </w:r>
      <w:r>
        <w:rPr>
          <w:vertAlign w:val="superscript"/>
        </w:rPr>
        <w:t>η</w:t>
      </w:r>
      <w:r>
        <w:t xml:space="preserve"> και 5</w:t>
      </w:r>
      <w:r>
        <w:rPr>
          <w:vertAlign w:val="superscript"/>
        </w:rPr>
        <w:t>η</w:t>
      </w:r>
      <w:r>
        <w:t xml:space="preserve"> ιδιοσυχνότητα (2945- 3020 </w:t>
      </w:r>
      <w:r>
        <w:rPr>
          <w:lang w:val="en-US"/>
        </w:rPr>
        <w:t>Hz</w:t>
      </w:r>
      <w:r>
        <w:t>) σε 8</w:t>
      </w:r>
      <w:r>
        <w:rPr>
          <w:vertAlign w:val="superscript"/>
        </w:rPr>
        <w:t>η</w:t>
      </w:r>
      <w:r>
        <w:t xml:space="preserve"> και 9</w:t>
      </w:r>
      <w:r>
        <w:rPr>
          <w:vertAlign w:val="superscript"/>
        </w:rPr>
        <w:t>η</w:t>
      </w:r>
      <w:r>
        <w:t xml:space="preserve"> ιδιοσυχνότητα (7911- 7947</w:t>
      </w:r>
      <w:r>
        <w:t xml:space="preserve"> </w:t>
      </w:r>
      <w:r>
        <w:rPr>
          <w:lang w:val="en-US"/>
        </w:rPr>
        <w:t>Hz</w:t>
      </w:r>
      <w:r>
        <w:t>)</w:t>
      </w:r>
      <w:r>
        <w:t>,</w:t>
      </w:r>
      <w:r>
        <w:t xml:space="preserve"> σε 13</w:t>
      </w:r>
      <w:r>
        <w:rPr>
          <w:vertAlign w:val="superscript"/>
        </w:rPr>
        <w:t>η</w:t>
      </w:r>
      <w:r>
        <w:t xml:space="preserve"> και 14</w:t>
      </w:r>
      <w:r>
        <w:rPr>
          <w:vertAlign w:val="superscript"/>
        </w:rPr>
        <w:t>η</w:t>
      </w:r>
      <w:r>
        <w:t xml:space="preserve"> ιδιοσυχνότητα (</w:t>
      </w:r>
      <w:r>
        <w:t xml:space="preserve">9740- </w:t>
      </w:r>
      <w:r>
        <w:t xml:space="preserve">11820 </w:t>
      </w:r>
      <w:r>
        <w:rPr>
          <w:lang w:val="en-US"/>
        </w:rPr>
        <w:t>Hz</w:t>
      </w:r>
      <w:r>
        <w:t>), σε 14</w:t>
      </w:r>
      <w:r>
        <w:rPr>
          <w:vertAlign w:val="superscript"/>
        </w:rPr>
        <w:t>η</w:t>
      </w:r>
      <w:r>
        <w:t xml:space="preserve"> και 15</w:t>
      </w:r>
      <w:r>
        <w:rPr>
          <w:vertAlign w:val="superscript"/>
        </w:rPr>
        <w:t>η</w:t>
      </w:r>
      <w:r>
        <w:t xml:space="preserve"> ιδιοσυχνότητα (</w:t>
      </w:r>
      <w:r>
        <w:t xml:space="preserve">12084- </w:t>
      </w:r>
      <w:r>
        <w:t xml:space="preserve">12275 </w:t>
      </w:r>
      <w:r>
        <w:rPr>
          <w:lang w:val="en-US"/>
        </w:rPr>
        <w:t>Hz</w:t>
      </w:r>
      <w:r>
        <w:t>), σε 15</w:t>
      </w:r>
      <w:r>
        <w:rPr>
          <w:vertAlign w:val="superscript"/>
        </w:rPr>
        <w:t>η</w:t>
      </w:r>
      <w:r>
        <w:t xml:space="preserve"> και 16</w:t>
      </w:r>
      <w:r>
        <w:rPr>
          <w:vertAlign w:val="superscript"/>
        </w:rPr>
        <w:t>η</w:t>
      </w:r>
      <w:r>
        <w:t xml:space="preserve"> ιδιοσυχνότητα (</w:t>
      </w:r>
      <w:r>
        <w:t>12345-</w:t>
      </w:r>
      <w:r>
        <w:t xml:space="preserve">13200 </w:t>
      </w:r>
      <w:r>
        <w:rPr>
          <w:lang w:val="en-US"/>
        </w:rPr>
        <w:t>Hz</w:t>
      </w:r>
      <w:r>
        <w:t>), σε 17</w:t>
      </w:r>
      <w:r>
        <w:rPr>
          <w:vertAlign w:val="superscript"/>
        </w:rPr>
        <w:t>η</w:t>
      </w:r>
      <w:r>
        <w:t xml:space="preserve"> και 18</w:t>
      </w:r>
      <w:r>
        <w:rPr>
          <w:vertAlign w:val="superscript"/>
        </w:rPr>
        <w:t>η</w:t>
      </w:r>
      <w:r>
        <w:t xml:space="preserve"> ιδιοσυχνότητα (</w:t>
      </w:r>
      <w:r>
        <w:t>13465-</w:t>
      </w:r>
      <w:r>
        <w:t xml:space="preserve">14270 </w:t>
      </w:r>
      <w:r>
        <w:rPr>
          <w:lang w:val="en-US"/>
        </w:rPr>
        <w:t>Hz</w:t>
      </w:r>
      <w:r>
        <w:t>), σε 19</w:t>
      </w:r>
      <w:r>
        <w:rPr>
          <w:vertAlign w:val="superscript"/>
        </w:rPr>
        <w:t>η</w:t>
      </w:r>
      <w:r>
        <w:t xml:space="preserve"> και 20</w:t>
      </w:r>
      <w:r>
        <w:rPr>
          <w:vertAlign w:val="superscript"/>
        </w:rPr>
        <w:t>η</w:t>
      </w:r>
      <w:r>
        <w:t xml:space="preserve"> ιδιοσυχνότητα(</w:t>
      </w:r>
      <w:r>
        <w:t xml:space="preserve">14293- </w:t>
      </w:r>
      <w:r>
        <w:t xml:space="preserve">14348 </w:t>
      </w:r>
      <w:r>
        <w:rPr>
          <w:lang w:val="en-US"/>
        </w:rPr>
        <w:t>Hz</w:t>
      </w:r>
      <w:r>
        <w:t>)</w:t>
      </w:r>
    </w:p>
    <w:bookmarkEnd w:id="39"/>
    <w:p>
      <w:pPr>
        <w:pStyle w:val="style0"/>
        <w:rPr>
          <w:rFonts w:ascii="Calibri Light" w:cs="宋体" w:eastAsia="宋体" w:hAnsi="Calibri Light"/>
          <w:color w:val="1f3763"/>
          <w:sz w:val="24"/>
          <w:szCs w:val="24"/>
        </w:rPr>
      </w:pPr>
      <w:r>
        <w:br w:type="page"/>
      </w:r>
    </w:p>
    <w:bookmarkStart w:id="40" w:name="_Toc66524603"/>
    <w:bookmarkStart w:id="41" w:name="_Toc77270440"/>
    <w:p>
      <w:pPr>
        <w:pStyle w:val="style3"/>
        <w:rPr/>
      </w:pPr>
      <w:r>
        <w:rPr>
          <w:lang w:val="en-US"/>
        </w:rPr>
        <w:t>r</w:t>
      </w:r>
      <w:r>
        <w:t xml:space="preserve">=0.006 </w:t>
      </w:r>
      <w:r>
        <w:rPr>
          <w:lang w:val="en-US"/>
        </w:rPr>
        <w:t>m</w:t>
      </w:r>
      <w:bookmarkEnd w:id="40"/>
      <w:bookmarkEnd w:id="41"/>
      <w:r>
        <w:t xml:space="preserve"> </w:t>
      </w:r>
    </w:p>
    <w:p>
      <w:pPr>
        <w:pStyle w:val="style0"/>
        <w:jc w:val="center"/>
        <w:rPr>
          <w:u w:val="single"/>
          <w:lang w:val="en-US"/>
        </w:rPr>
      </w:pPr>
    </w:p>
    <w:bookmarkStart w:id="42" w:name="_Hlk66522608"/>
    <w:p>
      <w:pPr>
        <w:pStyle w:val="style0"/>
        <w:keepNext/>
        <w:jc w:val="center"/>
        <w:rPr/>
      </w:pPr>
      <w:r>
        <w:rPr>
          <w:noProof/>
        </w:rPr>
        <w:drawing>
          <wp:inline distL="0" distT="0" distB="0" distR="0">
            <wp:extent cx="1828800" cy="1691639"/>
            <wp:effectExtent l="0" t="0" r="0" b="3810"/>
            <wp:docPr id="1046" name="Εικόνα 1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9" name="Εικόνα 11"/>
                    <pic:cNvPicPr/>
                  </pic:nvPicPr>
                  <pic:blipFill>
                    <a:blip r:embed="rId21" cstate="print"/>
                    <a:srcRect l="0" t="0" r="0" b="0"/>
                    <a:stretch/>
                  </pic:blipFill>
                  <pic:spPr>
                    <a:xfrm rot="0">
                      <a:off x="0" y="0"/>
                      <a:ext cx="1828800" cy="1691639"/>
                    </a:xfrm>
                    <a:prstGeom prst="rect"/>
                    <a:ln>
                      <a:noFill/>
                    </a:ln>
                  </pic:spPr>
                </pic:pic>
              </a:graphicData>
            </a:graphic>
          </wp:inline>
        </w:drawing>
      </w:r>
    </w:p>
    <w:p>
      <w:pPr>
        <w:pStyle w:val="style34"/>
        <w:jc w:val="center"/>
        <w:rPr>
          <w:u w:val="single"/>
        </w:rPr>
      </w:pPr>
      <w:r>
        <w:t xml:space="preserve">Εικόνα </w:t>
      </w:r>
      <w:r>
        <w:rPr/>
        <w:fldChar w:fldCharType="begin"/>
      </w:r>
      <w:r>
        <w:instrText xml:space="preserve"> SEQ Εικόνα \* ARABIC </w:instrText>
      </w:r>
      <w:r>
        <w:rPr/>
        <w:fldChar w:fldCharType="separate"/>
      </w:r>
      <w:r>
        <w:rPr>
          <w:noProof/>
        </w:rPr>
        <w:t>20</w:t>
      </w:r>
      <w:r>
        <w:rPr/>
        <w:fldChar w:fldCharType="end"/>
      </w:r>
      <w:r>
        <w:t xml:space="preserve"> Δομή με </w:t>
      </w:r>
      <w:r>
        <w:rPr>
          <w:lang w:val="en-US"/>
        </w:rPr>
        <w:t>r</w:t>
      </w:r>
      <w:r>
        <w:t>=0</w:t>
      </w:r>
      <w:r>
        <w:t>.</w:t>
      </w:r>
      <w:r>
        <w:t xml:space="preserve">006 </w:t>
      </w:r>
      <w:r>
        <w:rPr>
          <w:lang w:val="en-US"/>
        </w:rPr>
        <w:t>m</w:t>
      </w:r>
    </w:p>
    <w:p>
      <w:pPr>
        <w:pStyle w:val="style0"/>
        <w:rPr/>
      </w:pPr>
      <w:r>
        <w:t>Με διάγραμμα ιδιοσυχνοτήτων:</w:t>
      </w:r>
    </w:p>
    <w:p>
      <w:pPr>
        <w:pStyle w:val="style0"/>
        <w:keepNext/>
        <w:jc w:val="center"/>
        <w:rPr/>
      </w:pPr>
      <w:r>
        <w:rPr>
          <w:noProof/>
        </w:rPr>
        <w:drawing>
          <wp:inline distL="0" distT="0" distB="0" distR="0">
            <wp:extent cx="5274310" cy="2505075"/>
            <wp:effectExtent l="0" t="0" r="2540" b="9525"/>
            <wp:docPr id="1047" name="Εικόνα 5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0" name="Εικόνα 51"/>
                    <pic:cNvPicPr/>
                  </pic:nvPicPr>
                  <pic:blipFill>
                    <a:blip r:embed="rId22" cstate="print"/>
                    <a:srcRect l="0" t="0" r="0" b="0"/>
                    <a:stretch/>
                  </pic:blipFill>
                  <pic:spPr>
                    <a:xfrm rot="0">
                      <a:off x="0" y="0"/>
                      <a:ext cx="5274310" cy="2505075"/>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21</w:t>
      </w:r>
      <w:r>
        <w:rPr/>
        <w:fldChar w:fldCharType="end"/>
      </w:r>
      <w:r>
        <w:t xml:space="preserve"> Διάγραμμα απόκρισης δομής με </w:t>
      </w:r>
      <w:r>
        <w:rPr>
          <w:lang w:val="en-US"/>
        </w:rPr>
        <w:t>r</w:t>
      </w:r>
      <w:r>
        <w:t>=</w:t>
      </w:r>
      <w:r>
        <w:t>0.</w:t>
      </w:r>
      <w:r>
        <w:t xml:space="preserve">006 </w:t>
      </w:r>
      <w:r>
        <w:rPr>
          <w:lang w:val="en-US"/>
        </w:rPr>
        <w:t>m</w:t>
      </w:r>
    </w:p>
    <w:p>
      <w:pPr>
        <w:pStyle w:val="style0"/>
        <w:rPr/>
      </w:pPr>
    </w:p>
    <w:p>
      <w:pPr>
        <w:pStyle w:val="style0"/>
        <w:rPr/>
      </w:pPr>
      <w:r>
        <w:t xml:space="preserve">Στο διάγραμμα </w:t>
      </w:r>
      <w:r>
        <w:t>φαίν</w:t>
      </w:r>
      <w:r>
        <w:t>ον</w:t>
      </w:r>
      <w:r>
        <w:t>ται</w:t>
      </w:r>
      <w:r>
        <w:t xml:space="preserve"> συνολικά</w:t>
      </w:r>
      <w:r>
        <w:t xml:space="preserve"> </w:t>
      </w:r>
      <w:r>
        <w:t>7</w:t>
      </w:r>
      <w:r>
        <w:t xml:space="preserve"> ολικά </w:t>
      </w:r>
      <w:r>
        <w:rPr>
          <w:lang w:val="en-US"/>
        </w:rPr>
        <w:t>Band</w:t>
      </w:r>
      <w:r>
        <w:t xml:space="preserve"> </w:t>
      </w:r>
      <w:r>
        <w:rPr>
          <w:lang w:val="en-US"/>
        </w:rPr>
        <w:t>gaps</w:t>
      </w:r>
      <w:r>
        <w:t>.</w:t>
      </w:r>
      <w:r>
        <w:t xml:space="preserve"> Πιο συγκεκριμένα ανάμεσα σε 4</w:t>
      </w:r>
      <w:r>
        <w:rPr>
          <w:vertAlign w:val="superscript"/>
        </w:rPr>
        <w:t>η</w:t>
      </w:r>
      <w:r>
        <w:t xml:space="preserve"> και 5</w:t>
      </w:r>
      <w:r>
        <w:rPr>
          <w:vertAlign w:val="superscript"/>
        </w:rPr>
        <w:t>η</w:t>
      </w:r>
      <w:r>
        <w:t xml:space="preserve"> (</w:t>
      </w:r>
      <w:r>
        <w:t>2827-</w:t>
      </w:r>
      <w:r>
        <w:t xml:space="preserve">3010 </w:t>
      </w:r>
      <w:r>
        <w:rPr>
          <w:lang w:val="en-US"/>
        </w:rPr>
        <w:t>Hz</w:t>
      </w:r>
      <w:r>
        <w:t>), σε 8</w:t>
      </w:r>
      <w:r>
        <w:rPr>
          <w:vertAlign w:val="superscript"/>
        </w:rPr>
        <w:t>η</w:t>
      </w:r>
      <w:r>
        <w:t xml:space="preserve"> και 9</w:t>
      </w:r>
      <w:r>
        <w:rPr>
          <w:vertAlign w:val="superscript"/>
        </w:rPr>
        <w:t>η</w:t>
      </w:r>
      <w:r>
        <w:t xml:space="preserve"> (</w:t>
      </w:r>
      <w:r>
        <w:t>6363</w:t>
      </w:r>
      <w:r>
        <w:t xml:space="preserve">-7753 </w:t>
      </w:r>
      <w:r>
        <w:rPr>
          <w:lang w:val="en-US"/>
        </w:rPr>
        <w:t>Hz</w:t>
      </w:r>
      <w:r>
        <w:t>), σε 13</w:t>
      </w:r>
      <w:r>
        <w:rPr>
          <w:vertAlign w:val="superscript"/>
        </w:rPr>
        <w:t>η</w:t>
      </w:r>
      <w:r>
        <w:t xml:space="preserve">  και 14</w:t>
      </w:r>
      <w:r>
        <w:rPr>
          <w:vertAlign w:val="superscript"/>
        </w:rPr>
        <w:t>η</w:t>
      </w:r>
      <w:r>
        <w:t xml:space="preserve"> (</w:t>
      </w:r>
      <w:r>
        <w:t>9362</w:t>
      </w:r>
      <w:r>
        <w:t xml:space="preserve">-10760 </w:t>
      </w:r>
      <w:r>
        <w:rPr>
          <w:lang w:val="en-US"/>
        </w:rPr>
        <w:t>Hz</w:t>
      </w:r>
      <w:r>
        <w:t>), σε 14</w:t>
      </w:r>
      <w:r>
        <w:rPr>
          <w:vertAlign w:val="superscript"/>
        </w:rPr>
        <w:t>η</w:t>
      </w:r>
      <w:r>
        <w:t xml:space="preserve"> και 15</w:t>
      </w:r>
      <w:r>
        <w:rPr>
          <w:vertAlign w:val="superscript"/>
        </w:rPr>
        <w:t>η</w:t>
      </w:r>
      <w:r>
        <w:t xml:space="preserve"> (</w:t>
      </w:r>
      <w:r>
        <w:t>11055-</w:t>
      </w:r>
      <w:r>
        <w:t xml:space="preserve">11182 </w:t>
      </w:r>
      <w:r>
        <w:rPr>
          <w:lang w:val="en-US"/>
        </w:rPr>
        <w:t>Hz</w:t>
      </w:r>
      <w:r>
        <w:t>), σε 15</w:t>
      </w:r>
      <w:r>
        <w:rPr>
          <w:vertAlign w:val="superscript"/>
        </w:rPr>
        <w:t>η</w:t>
      </w:r>
      <w:r>
        <w:t xml:space="preserve"> και 16</w:t>
      </w:r>
      <w:r>
        <w:rPr>
          <w:vertAlign w:val="superscript"/>
        </w:rPr>
        <w:t>η</w:t>
      </w:r>
      <w:r>
        <w:t xml:space="preserve"> (</w:t>
      </w:r>
      <w:r>
        <w:t>11285-</w:t>
      </w:r>
      <w:r>
        <w:t xml:space="preserve">11926 </w:t>
      </w:r>
      <w:r>
        <w:rPr>
          <w:lang w:val="en-US"/>
        </w:rPr>
        <w:t>Hz</w:t>
      </w:r>
      <w:r>
        <w:t>), σε 17</w:t>
      </w:r>
      <w:r>
        <w:rPr>
          <w:vertAlign w:val="superscript"/>
        </w:rPr>
        <w:t>η</w:t>
      </w:r>
      <w:r>
        <w:t xml:space="preserve"> και 18</w:t>
      </w:r>
      <w:r>
        <w:rPr>
          <w:vertAlign w:val="superscript"/>
        </w:rPr>
        <w:t>η</w:t>
      </w:r>
      <w:r>
        <w:t xml:space="preserve"> (</w:t>
      </w:r>
      <w:r>
        <w:t>12203-</w:t>
      </w:r>
      <w:r>
        <w:t xml:space="preserve">12990 </w:t>
      </w:r>
      <w:r>
        <w:rPr>
          <w:lang w:val="en-US"/>
        </w:rPr>
        <w:t>Hz</w:t>
      </w:r>
      <w:r>
        <w:t>) και σε 19</w:t>
      </w:r>
      <w:r>
        <w:rPr>
          <w:vertAlign w:val="superscript"/>
        </w:rPr>
        <w:t>η</w:t>
      </w:r>
      <w:r>
        <w:t xml:space="preserve"> και 20</w:t>
      </w:r>
      <w:r>
        <w:rPr>
          <w:vertAlign w:val="superscript"/>
        </w:rPr>
        <w:t>η</w:t>
      </w:r>
      <w:r>
        <w:t xml:space="preserve"> (</w:t>
      </w:r>
      <w:r>
        <w:t>13</w:t>
      </w:r>
      <w:r>
        <w:t>014</w:t>
      </w:r>
      <w:r>
        <w:t xml:space="preserve">-13120 </w:t>
      </w:r>
      <w:r>
        <w:rPr>
          <w:lang w:val="en-US"/>
        </w:rPr>
        <w:t>Hz</w:t>
      </w:r>
      <w:r>
        <w:t>)</w:t>
      </w:r>
      <w:r>
        <w:t>.</w:t>
      </w:r>
    </w:p>
    <w:bookmarkEnd w:id="42"/>
    <w:p>
      <w:pPr>
        <w:pStyle w:val="style0"/>
        <w:rPr>
          <w:rFonts w:ascii="Calibri Light" w:cs="宋体" w:eastAsia="宋体" w:hAnsi="Calibri Light"/>
          <w:color w:val="1f3763"/>
          <w:sz w:val="24"/>
          <w:szCs w:val="24"/>
        </w:rPr>
      </w:pPr>
      <w:r>
        <w:br w:type="page"/>
      </w:r>
    </w:p>
    <w:bookmarkStart w:id="43" w:name="_Toc66524604"/>
    <w:bookmarkStart w:id="44" w:name="_Toc77270441"/>
    <w:p>
      <w:pPr>
        <w:pStyle w:val="style2"/>
        <w:rPr/>
      </w:pPr>
      <w:r>
        <w:t xml:space="preserve">Προσομοίωση με παραμετροποίηση μήκους άρθρωσης σκελετού </w:t>
      </w:r>
      <w:r>
        <w:t>(</w:t>
      </w:r>
      <w:r>
        <w:rPr>
          <w:lang w:val="en-US"/>
        </w:rPr>
        <w:t>l</w:t>
      </w:r>
      <w:r>
        <w:t>)</w:t>
      </w:r>
      <w:bookmarkEnd w:id="43"/>
      <w:bookmarkEnd w:id="44"/>
    </w:p>
    <w:p>
      <w:pPr>
        <w:pStyle w:val="style0"/>
        <w:rPr/>
      </w:pPr>
    </w:p>
    <w:p>
      <w:pPr>
        <w:pStyle w:val="style0"/>
        <w:rPr/>
      </w:pPr>
      <w:r>
        <w:t xml:space="preserve">Στις επόμενες 4 μελέτες, το μήκος άρθρωσης κελιού </w:t>
      </w:r>
      <w:r>
        <w:rPr>
          <w:lang w:val="en-US"/>
        </w:rPr>
        <w:t>l</w:t>
      </w:r>
      <w:r>
        <w:t xml:space="preserve"> </w:t>
      </w:r>
      <w:r>
        <w:t>μεταβάλλεται</w:t>
      </w:r>
      <w:r>
        <w:t xml:space="preserve"> </w:t>
      </w:r>
      <w:r>
        <w:t xml:space="preserve">κατά </w:t>
      </w:r>
      <w:r>
        <w:rPr>
          <w:rFonts w:cs="Calibri"/>
        </w:rPr>
        <w:t>±</w:t>
      </w:r>
      <w:r>
        <w:t>25%</w:t>
      </w:r>
      <w:r>
        <w:t xml:space="preserve"> με βήμα </w:t>
      </w:r>
      <w:r>
        <w:t>12,5% (</w:t>
      </w:r>
      <w:r>
        <w:t xml:space="preserve">0,003125 </w:t>
      </w:r>
      <w:r>
        <w:rPr>
          <w:lang w:val="en-US"/>
        </w:rPr>
        <w:t>m</w:t>
      </w:r>
      <w:r>
        <w:t>)</w:t>
      </w:r>
      <w:r>
        <w:t xml:space="preserve">. Αντίστοιχα, το </w:t>
      </w:r>
      <w:r>
        <w:rPr>
          <w:lang w:val="en-US"/>
        </w:rPr>
        <w:t>L</w:t>
      </w:r>
      <w:r>
        <w:t>=</w:t>
      </w:r>
      <w:r>
        <w:rPr>
          <w:lang w:val="en-US"/>
        </w:rPr>
        <w:t>l</w:t>
      </w:r>
      <w:r>
        <w:t xml:space="preserve">/2 </w:t>
      </w:r>
      <w:r>
        <w:t xml:space="preserve">μεταβάλλεται με τον ανάλογο τρόπο. Σημειώνεται ότι το πάχος </w:t>
      </w:r>
      <w:r>
        <w:rPr>
          <w:lang w:val="en-US"/>
        </w:rPr>
        <w:t>t</w:t>
      </w:r>
      <w:r>
        <w:t xml:space="preserve"> παραμένει σταθερό.</w:t>
      </w:r>
    </w:p>
    <w:p>
      <w:pPr>
        <w:pStyle w:val="style0"/>
        <w:rPr>
          <w:rFonts w:ascii="Calibri Light" w:cs="宋体" w:eastAsia="宋体" w:hAnsi="Calibri Light"/>
          <w:color w:val="1f3763"/>
          <w:sz w:val="24"/>
          <w:szCs w:val="24"/>
        </w:rPr>
      </w:pPr>
    </w:p>
    <w:bookmarkStart w:id="45" w:name="_Toc66524605"/>
    <w:bookmarkStart w:id="46" w:name="_Toc77270442"/>
    <w:p>
      <w:pPr>
        <w:pStyle w:val="style3"/>
        <w:rPr/>
      </w:pPr>
      <w:r>
        <w:rPr>
          <w:lang w:val="en-US"/>
        </w:rPr>
        <w:t>l</w:t>
      </w:r>
      <w:r>
        <w:t>=0</w:t>
      </w:r>
      <w:r>
        <w:rPr>
          <w:lang w:val="en-US"/>
        </w:rPr>
        <w:t>.</w:t>
      </w:r>
      <w:r>
        <w:t xml:space="preserve">01875 </w:t>
      </w:r>
      <w:r>
        <w:rPr>
          <w:lang w:val="en-US"/>
        </w:rPr>
        <w:t>m</w:t>
      </w:r>
      <w:bookmarkEnd w:id="45"/>
      <w:bookmarkEnd w:id="46"/>
      <w:r>
        <w:t xml:space="preserve"> </w:t>
      </w:r>
    </w:p>
    <w:bookmarkStart w:id="47" w:name="_Hlk66522550"/>
    <w:p>
      <w:pPr>
        <w:pStyle w:val="style0"/>
        <w:jc w:val="center"/>
        <w:rPr/>
      </w:pPr>
    </w:p>
    <w:bookmarkEnd w:id="47"/>
    <w:p>
      <w:pPr>
        <w:pStyle w:val="style0"/>
        <w:keepNext/>
        <w:jc w:val="center"/>
        <w:rPr/>
      </w:pPr>
      <w:r>
        <w:rPr>
          <w:noProof/>
        </w:rPr>
        <w:drawing>
          <wp:inline distL="0" distT="0" distB="0" distR="0">
            <wp:extent cx="1828800" cy="1764791"/>
            <wp:effectExtent l="0" t="0" r="0" b="6985"/>
            <wp:docPr id="1048" name="Εικόνα 1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1" name="Εικόνα 13"/>
                    <pic:cNvPicPr/>
                  </pic:nvPicPr>
                  <pic:blipFill>
                    <a:blip r:embed="rId23" cstate="print"/>
                    <a:srcRect l="0" t="0" r="0" b="0"/>
                    <a:stretch/>
                  </pic:blipFill>
                  <pic:spPr>
                    <a:xfrm rot="0">
                      <a:off x="0" y="0"/>
                      <a:ext cx="1828800" cy="1764791"/>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22</w:t>
      </w:r>
      <w:r>
        <w:rPr/>
        <w:fldChar w:fldCharType="end"/>
      </w:r>
      <w:r>
        <w:t xml:space="preserve"> </w:t>
      </w:r>
      <w:r>
        <w:t xml:space="preserve">Δομή με </w:t>
      </w:r>
      <w:r>
        <w:rPr>
          <w:lang w:val="en-US"/>
        </w:rPr>
        <w:t>l</w:t>
      </w:r>
      <w:r>
        <w:t>=0.01875</w:t>
      </w:r>
      <w:r>
        <w:rPr>
          <w:noProof/>
        </w:rPr>
        <w:t xml:space="preserve"> </w:t>
      </w:r>
      <w:r>
        <w:rPr>
          <w:noProof/>
          <w:lang w:val="en-US"/>
        </w:rPr>
        <w:t>m</w:t>
      </w:r>
    </w:p>
    <w:p>
      <w:pPr>
        <w:pStyle w:val="style0"/>
        <w:rPr/>
      </w:pPr>
      <w:r>
        <w:t>Με διάγραμμα ιδιοσυχνοτήτων:</w:t>
      </w:r>
    </w:p>
    <w:p>
      <w:pPr>
        <w:pStyle w:val="style0"/>
        <w:keepNext/>
        <w:jc w:val="center"/>
        <w:rPr/>
      </w:pPr>
      <w:r>
        <w:rPr>
          <w:noProof/>
        </w:rPr>
        <w:drawing>
          <wp:inline distL="0" distT="0" distB="0" distR="0">
            <wp:extent cx="5274310" cy="2503805"/>
            <wp:effectExtent l="0" t="0" r="2540" b="0"/>
            <wp:docPr id="1049" name="Εικόνα 5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2" name="Εικόνα 52"/>
                    <pic:cNvPicPr/>
                  </pic:nvPicPr>
                  <pic:blipFill>
                    <a:blip r:embed="rId24" cstate="print"/>
                    <a:srcRect l="0" t="0" r="0" b="0"/>
                    <a:stretch/>
                  </pic:blipFill>
                  <pic:spPr>
                    <a:xfrm rot="0">
                      <a:off x="0" y="0"/>
                      <a:ext cx="5274310" cy="2503805"/>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23</w:t>
      </w:r>
      <w:r>
        <w:rPr/>
        <w:fldChar w:fldCharType="end"/>
      </w:r>
      <w:r>
        <w:t xml:space="preserve"> Διάγραμμα απόκρισης δομής με </w:t>
      </w:r>
      <w:r>
        <w:rPr>
          <w:lang w:val="en-US"/>
        </w:rPr>
        <w:t>l</w:t>
      </w:r>
      <w:r>
        <w:t xml:space="preserve">=0.01875 </w:t>
      </w:r>
      <w:r>
        <w:rPr>
          <w:lang w:val="en-US"/>
        </w:rPr>
        <w:t>m</w:t>
      </w:r>
    </w:p>
    <w:p>
      <w:pPr>
        <w:pStyle w:val="style0"/>
        <w:spacing w:before="240"/>
        <w:rPr/>
      </w:pPr>
      <w:r>
        <w:t xml:space="preserve">Στο διάγραμμα </w:t>
      </w:r>
      <w:r>
        <w:t>φαίν</w:t>
      </w:r>
      <w:r>
        <w:t>ον</w:t>
      </w:r>
      <w:r>
        <w:t>ται</w:t>
      </w:r>
      <w:r>
        <w:t xml:space="preserve"> συνολικά </w:t>
      </w:r>
      <w:r>
        <w:t xml:space="preserve">4 </w:t>
      </w:r>
      <w:r>
        <w:t xml:space="preserve">ολικά </w:t>
      </w:r>
      <w:r>
        <w:rPr>
          <w:lang w:val="en-US"/>
        </w:rPr>
        <w:t>band</w:t>
      </w:r>
      <w:r>
        <w:t xml:space="preserve"> </w:t>
      </w:r>
      <w:r>
        <w:rPr>
          <w:lang w:val="en-US"/>
        </w:rPr>
        <w:t>gaps</w:t>
      </w:r>
      <w:r>
        <w:t>.</w:t>
      </w:r>
      <w:r>
        <w:t xml:space="preserve"> Ειδικότερα, ανάμεσα σε 4</w:t>
      </w:r>
      <w:r>
        <w:rPr>
          <w:vertAlign w:val="superscript"/>
        </w:rPr>
        <w:t>η</w:t>
      </w:r>
      <w:r>
        <w:t xml:space="preserve"> και 5</w:t>
      </w:r>
      <w:r>
        <w:rPr>
          <w:vertAlign w:val="superscript"/>
        </w:rPr>
        <w:t>η</w:t>
      </w:r>
      <w:r>
        <w:t xml:space="preserve"> ιδιοσυχνότητα (4675-4701 </w:t>
      </w:r>
      <w:r>
        <w:rPr>
          <w:lang w:val="en-US"/>
        </w:rPr>
        <w:t>Hz</w:t>
      </w:r>
      <w:r>
        <w:t xml:space="preserve">), </w:t>
      </w:r>
      <w:r>
        <w:t>σε 5</w:t>
      </w:r>
      <w:r>
        <w:rPr>
          <w:vertAlign w:val="superscript"/>
        </w:rPr>
        <w:t>η</w:t>
      </w:r>
      <w:r>
        <w:t xml:space="preserve"> και 6</w:t>
      </w:r>
      <w:r>
        <w:rPr>
          <w:vertAlign w:val="superscript"/>
        </w:rPr>
        <w:t>η</w:t>
      </w:r>
      <w:r>
        <w:t xml:space="preserve"> (4930-5550 </w:t>
      </w:r>
      <w:r>
        <w:rPr>
          <w:lang w:val="en-US"/>
        </w:rPr>
        <w:t>Hz</w:t>
      </w:r>
      <w:r>
        <w:t>), σε 9</w:t>
      </w:r>
      <w:r>
        <w:rPr>
          <w:vertAlign w:val="superscript"/>
        </w:rPr>
        <w:t>η</w:t>
      </w:r>
      <w:r>
        <w:t xml:space="preserve"> και 10</w:t>
      </w:r>
      <w:r>
        <w:rPr>
          <w:vertAlign w:val="superscript"/>
        </w:rPr>
        <w:t>η</w:t>
      </w:r>
      <w:r>
        <w:t xml:space="preserve"> (10150-10490</w:t>
      </w:r>
      <w:r>
        <w:t xml:space="preserve"> </w:t>
      </w:r>
      <w:r>
        <w:rPr>
          <w:lang w:val="en-US"/>
        </w:rPr>
        <w:t>Hz</w:t>
      </w:r>
      <w:r>
        <w:t>), σε 11</w:t>
      </w:r>
      <w:r>
        <w:rPr>
          <w:vertAlign w:val="superscript"/>
        </w:rPr>
        <w:t>η</w:t>
      </w:r>
      <w:r>
        <w:t xml:space="preserve"> και 12</w:t>
      </w:r>
      <w:r>
        <w:rPr>
          <w:vertAlign w:val="superscript"/>
        </w:rPr>
        <w:t>η</w:t>
      </w:r>
      <w:r>
        <w:t xml:space="preserve"> (10714-13115 </w:t>
      </w:r>
      <w:r>
        <w:rPr>
          <w:lang w:val="en-US"/>
        </w:rPr>
        <w:t>Hz</w:t>
      </w:r>
      <w:r>
        <w:t>).</w:t>
      </w:r>
    </w:p>
    <w:p>
      <w:pPr>
        <w:pStyle w:val="style0"/>
        <w:rPr>
          <w:rFonts w:ascii="Calibri Light" w:cs="宋体" w:eastAsia="宋体" w:hAnsi="Calibri Light"/>
          <w:color w:val="1f3763"/>
          <w:sz w:val="24"/>
          <w:szCs w:val="24"/>
        </w:rPr>
      </w:pPr>
      <w:r>
        <w:br w:type="page"/>
      </w:r>
    </w:p>
    <w:bookmarkStart w:id="48" w:name="_Toc66524606"/>
    <w:bookmarkStart w:id="49" w:name="_Toc77270443"/>
    <w:p>
      <w:pPr>
        <w:pStyle w:val="style3"/>
        <w:rPr/>
      </w:pPr>
      <w:r>
        <w:rPr>
          <w:lang w:val="en-US"/>
        </w:rPr>
        <w:t>l</w:t>
      </w:r>
      <w:r>
        <w:t xml:space="preserve">=0.021875 </w:t>
      </w:r>
      <w:r>
        <w:rPr>
          <w:lang w:val="en-US"/>
        </w:rPr>
        <w:t>m</w:t>
      </w:r>
      <w:bookmarkEnd w:id="48"/>
      <w:bookmarkEnd w:id="49"/>
      <w:r>
        <w:t xml:space="preserve"> </w:t>
      </w:r>
    </w:p>
    <w:bookmarkStart w:id="50" w:name="_Hlk66522576"/>
    <w:p>
      <w:pPr>
        <w:pStyle w:val="style0"/>
        <w:jc w:val="center"/>
        <w:rPr/>
      </w:pPr>
    </w:p>
    <w:bookmarkEnd w:id="50"/>
    <w:p>
      <w:pPr>
        <w:pStyle w:val="style0"/>
        <w:keepNext/>
        <w:spacing w:before="240"/>
        <w:jc w:val="center"/>
        <w:rPr/>
      </w:pPr>
      <w:r>
        <w:rPr>
          <w:noProof/>
        </w:rPr>
        <w:drawing>
          <wp:inline distL="0" distT="0" distB="0" distR="0">
            <wp:extent cx="1828800" cy="1773936"/>
            <wp:effectExtent l="0" t="0" r="0" b="0"/>
            <wp:docPr id="1050" name="Εικόνα 1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3" name="Εικόνα 15"/>
                    <pic:cNvPicPr/>
                  </pic:nvPicPr>
                  <pic:blipFill>
                    <a:blip r:embed="rId25" cstate="print"/>
                    <a:srcRect l="0" t="0" r="0" b="0"/>
                    <a:stretch/>
                  </pic:blipFill>
                  <pic:spPr>
                    <a:xfrm rot="0">
                      <a:off x="0" y="0"/>
                      <a:ext cx="1828800" cy="1773936"/>
                    </a:xfrm>
                    <a:prstGeom prst="rect"/>
                    <a:ln>
                      <a:noFill/>
                    </a:ln>
                  </pic:spPr>
                </pic:pic>
              </a:graphicData>
            </a:graphic>
          </wp:inline>
        </w:drawing>
      </w:r>
    </w:p>
    <w:p>
      <w:pPr>
        <w:pStyle w:val="style34"/>
        <w:jc w:val="center"/>
        <w:rPr>
          <w:u w:val="single"/>
        </w:rPr>
      </w:pPr>
      <w:r>
        <w:t xml:space="preserve">Εικόνα </w:t>
      </w:r>
      <w:r>
        <w:rPr/>
        <w:fldChar w:fldCharType="begin"/>
      </w:r>
      <w:r>
        <w:instrText xml:space="preserve"> SEQ Εικόνα \* ARABIC </w:instrText>
      </w:r>
      <w:r>
        <w:rPr/>
        <w:fldChar w:fldCharType="separate"/>
      </w:r>
      <w:r>
        <w:rPr>
          <w:noProof/>
        </w:rPr>
        <w:t>24</w:t>
      </w:r>
      <w:r>
        <w:rPr/>
        <w:fldChar w:fldCharType="end"/>
      </w:r>
      <w:r>
        <w:t xml:space="preserve"> Δομή με </w:t>
      </w:r>
      <w:r>
        <w:rPr>
          <w:lang w:val="en-US"/>
        </w:rPr>
        <w:t>l</w:t>
      </w:r>
      <w:r>
        <w:t xml:space="preserve">=0.021875 </w:t>
      </w:r>
      <w:r>
        <w:rPr>
          <w:lang w:val="en-US"/>
        </w:rPr>
        <w:t>m</w:t>
      </w:r>
    </w:p>
    <w:p>
      <w:pPr>
        <w:pStyle w:val="style0"/>
        <w:spacing w:before="240"/>
        <w:rPr/>
      </w:pPr>
      <w:r>
        <w:t>Με</w:t>
      </w:r>
      <w:r>
        <w:t xml:space="preserve"> διάγραμμα ιδιοσυχνοτήτων:</w:t>
      </w:r>
    </w:p>
    <w:p>
      <w:pPr>
        <w:pStyle w:val="style0"/>
        <w:keepNext/>
        <w:spacing w:before="240"/>
        <w:jc w:val="center"/>
        <w:rPr/>
      </w:pPr>
      <w:r>
        <w:rPr>
          <w:noProof/>
        </w:rPr>
        <w:drawing>
          <wp:inline distL="0" distT="0" distB="0" distR="0">
            <wp:extent cx="5274310" cy="2505075"/>
            <wp:effectExtent l="0" t="0" r="2540" b="9525"/>
            <wp:docPr id="1051" name="Εικόνα 5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4" name="Εικόνα 53"/>
                    <pic:cNvPicPr/>
                  </pic:nvPicPr>
                  <pic:blipFill>
                    <a:blip r:embed="rId26" cstate="print"/>
                    <a:srcRect l="0" t="0" r="0" b="0"/>
                    <a:stretch/>
                  </pic:blipFill>
                  <pic:spPr>
                    <a:xfrm rot="0">
                      <a:off x="0" y="0"/>
                      <a:ext cx="5274310" cy="2505075"/>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25</w:t>
      </w:r>
      <w:r>
        <w:rPr/>
        <w:fldChar w:fldCharType="end"/>
      </w:r>
      <w:r>
        <w:t xml:space="preserve"> </w:t>
      </w:r>
      <w:r>
        <w:t>Διάγραμμα απόκρισης δ</w:t>
      </w:r>
      <w:r>
        <w:t>ομή</w:t>
      </w:r>
      <w:r>
        <w:t>ς</w:t>
      </w:r>
      <w:r>
        <w:t xml:space="preserve"> με l=0.021875 m</w:t>
      </w:r>
    </w:p>
    <w:p>
      <w:pPr>
        <w:pStyle w:val="style0"/>
        <w:spacing w:before="240"/>
        <w:rPr/>
      </w:pPr>
      <w:r>
        <w:t xml:space="preserve">Στο διάγραμμα </w:t>
      </w:r>
      <w:r>
        <w:t>υπάρχουν</w:t>
      </w:r>
      <w:r>
        <w:t xml:space="preserve"> συνολικά 8 ολικά </w:t>
      </w:r>
      <w:r>
        <w:rPr>
          <w:lang w:val="en-US"/>
        </w:rPr>
        <w:t>band</w:t>
      </w:r>
      <w:r>
        <w:t xml:space="preserve"> </w:t>
      </w:r>
      <w:r>
        <w:rPr>
          <w:lang w:val="en-US"/>
        </w:rPr>
        <w:t>gaps</w:t>
      </w:r>
      <w:r>
        <w:t>.</w:t>
      </w:r>
      <w:r>
        <w:t xml:space="preserve"> Πιο συγκεκριμένα, ανάμεσα σε 4</w:t>
      </w:r>
      <w:r>
        <w:rPr>
          <w:vertAlign w:val="superscript"/>
        </w:rPr>
        <w:t>η</w:t>
      </w:r>
      <w:r>
        <w:t xml:space="preserve"> και 5</w:t>
      </w:r>
      <w:r>
        <w:rPr>
          <w:vertAlign w:val="superscript"/>
        </w:rPr>
        <w:t>η</w:t>
      </w:r>
      <w:r>
        <w:t xml:space="preserve"> ιδιοσυχνότητα (3805-</w:t>
      </w:r>
      <w:r>
        <w:t xml:space="preserve">4018 </w:t>
      </w:r>
      <w:r>
        <w:rPr>
          <w:lang w:val="en-US"/>
        </w:rPr>
        <w:t>Hz</w:t>
      </w:r>
      <w:r>
        <w:t>), σε 8</w:t>
      </w:r>
      <w:r>
        <w:rPr>
          <w:vertAlign w:val="superscript"/>
        </w:rPr>
        <w:t>η</w:t>
      </w:r>
      <w:r>
        <w:t xml:space="preserve"> και 9</w:t>
      </w:r>
      <w:r>
        <w:rPr>
          <w:vertAlign w:val="superscript"/>
        </w:rPr>
        <w:t>η</w:t>
      </w:r>
      <w:r>
        <w:t xml:space="preserve"> ιδιοσυχνότητα (</w:t>
      </w:r>
      <w:r>
        <w:t>8950</w:t>
      </w:r>
      <w:r>
        <w:t>-9550</w:t>
      </w:r>
      <w:r>
        <w:t xml:space="preserve"> </w:t>
      </w:r>
      <w:r>
        <w:rPr>
          <w:lang w:val="en-US"/>
        </w:rPr>
        <w:t>Hz</w:t>
      </w:r>
      <w:r>
        <w:t>), σε 9</w:t>
      </w:r>
      <w:r>
        <w:rPr>
          <w:vertAlign w:val="superscript"/>
        </w:rPr>
        <w:t>η</w:t>
      </w:r>
      <w:r>
        <w:t xml:space="preserve"> και 10</w:t>
      </w:r>
      <w:r>
        <w:rPr>
          <w:vertAlign w:val="superscript"/>
        </w:rPr>
        <w:t>η</w:t>
      </w:r>
      <w:r>
        <w:t xml:space="preserve"> ιδιοσυχνότητα (</w:t>
      </w:r>
      <w:r>
        <w:t>9634</w:t>
      </w:r>
      <w:r>
        <w:t xml:space="preserve">-10382 </w:t>
      </w:r>
      <w:r>
        <w:rPr>
          <w:lang w:val="en-US"/>
        </w:rPr>
        <w:t>Hz</w:t>
      </w:r>
      <w:r>
        <w:t>), σε 13</w:t>
      </w:r>
      <w:r>
        <w:rPr>
          <w:vertAlign w:val="superscript"/>
        </w:rPr>
        <w:t>η</w:t>
      </w:r>
      <w:r>
        <w:t xml:space="preserve"> και 14</w:t>
      </w:r>
      <w:r>
        <w:rPr>
          <w:vertAlign w:val="superscript"/>
        </w:rPr>
        <w:t>η</w:t>
      </w:r>
      <w:r>
        <w:t xml:space="preserve"> ιδιοσυχνότητα (</w:t>
      </w:r>
      <w:r>
        <w:t>12443-</w:t>
      </w:r>
      <w:r>
        <w:t xml:space="preserve">13120 </w:t>
      </w:r>
      <w:r>
        <w:rPr>
          <w:lang w:val="en-US"/>
        </w:rPr>
        <w:t>Hz</w:t>
      </w:r>
      <w:r>
        <w:t>), σε 14</w:t>
      </w:r>
      <w:r>
        <w:rPr>
          <w:vertAlign w:val="superscript"/>
        </w:rPr>
        <w:t>η</w:t>
      </w:r>
      <w:r>
        <w:t xml:space="preserve"> και 15</w:t>
      </w:r>
      <w:r>
        <w:rPr>
          <w:vertAlign w:val="superscript"/>
        </w:rPr>
        <w:t>η</w:t>
      </w:r>
      <w:r>
        <w:t xml:space="preserve"> ιδιοσυχνότητα (</w:t>
      </w:r>
      <w:r>
        <w:t xml:space="preserve">13553-13635 </w:t>
      </w:r>
      <w:r>
        <w:rPr>
          <w:lang w:val="en-US"/>
        </w:rPr>
        <w:t>Hz</w:t>
      </w:r>
      <w:r>
        <w:t>), σε</w:t>
      </w:r>
      <w:r>
        <w:t xml:space="preserve"> </w:t>
      </w:r>
      <w:r>
        <w:t>15</w:t>
      </w:r>
      <w:r>
        <w:rPr>
          <w:vertAlign w:val="superscript"/>
        </w:rPr>
        <w:t>η</w:t>
      </w:r>
      <w:r>
        <w:t xml:space="preserve"> και 16</w:t>
      </w:r>
      <w:r>
        <w:rPr>
          <w:vertAlign w:val="superscript"/>
        </w:rPr>
        <w:t>η</w:t>
      </w:r>
      <w:r>
        <w:t xml:space="preserve"> ιδιοσυχνότητα (13786-14975 </w:t>
      </w:r>
      <w:r>
        <w:rPr>
          <w:lang w:val="en-US"/>
        </w:rPr>
        <w:t>Hz</w:t>
      </w:r>
      <w:r>
        <w:t>), σε 17</w:t>
      </w:r>
      <w:r>
        <w:rPr>
          <w:vertAlign w:val="superscript"/>
        </w:rPr>
        <w:t>η</w:t>
      </w:r>
      <w:r>
        <w:t xml:space="preserve"> και 18</w:t>
      </w:r>
      <w:r>
        <w:rPr>
          <w:vertAlign w:val="superscript"/>
        </w:rPr>
        <w:t>η</w:t>
      </w:r>
      <w:r>
        <w:t xml:space="preserve"> ιδιοσυχνότητα (</w:t>
      </w:r>
      <w:r>
        <w:t>15046-</w:t>
      </w:r>
      <w:r>
        <w:t xml:space="preserve">15835 </w:t>
      </w:r>
      <w:r>
        <w:rPr>
          <w:lang w:val="en-US"/>
        </w:rPr>
        <w:t>Hz</w:t>
      </w:r>
      <w:r>
        <w:t>), σε 19</w:t>
      </w:r>
      <w:r>
        <w:rPr>
          <w:vertAlign w:val="superscript"/>
        </w:rPr>
        <w:t>η</w:t>
      </w:r>
      <w:r>
        <w:t xml:space="preserve"> και 20</w:t>
      </w:r>
      <w:r>
        <w:rPr>
          <w:vertAlign w:val="superscript"/>
        </w:rPr>
        <w:t>η</w:t>
      </w:r>
      <w:r>
        <w:t xml:space="preserve"> ιδιοσυχνότητα (</w:t>
      </w:r>
      <w:r>
        <w:t>15857-</w:t>
      </w:r>
      <w:r>
        <w:t xml:space="preserve">16018 </w:t>
      </w:r>
      <w:r>
        <w:rPr>
          <w:lang w:val="en-US"/>
        </w:rPr>
        <w:t>Hz</w:t>
      </w:r>
      <w:r>
        <w:t>).</w:t>
      </w:r>
    </w:p>
    <w:p>
      <w:pPr>
        <w:pStyle w:val="style0"/>
        <w:rPr>
          <w:rFonts w:ascii="Calibri Light" w:cs="宋体" w:eastAsia="宋体" w:hAnsi="Calibri Light"/>
          <w:color w:val="1f3763"/>
          <w:sz w:val="24"/>
          <w:szCs w:val="24"/>
        </w:rPr>
      </w:pPr>
      <w:r>
        <w:br w:type="page"/>
      </w:r>
    </w:p>
    <w:bookmarkStart w:id="51" w:name="_Toc66524607"/>
    <w:bookmarkStart w:id="52" w:name="_Toc77270444"/>
    <w:p>
      <w:pPr>
        <w:pStyle w:val="style3"/>
        <w:rPr/>
      </w:pPr>
      <w:r>
        <w:rPr>
          <w:lang w:val="en-US"/>
        </w:rPr>
        <w:t>l</w:t>
      </w:r>
      <w:r>
        <w:t xml:space="preserve">=0.028125 </w:t>
      </w:r>
      <w:r>
        <w:rPr>
          <w:lang w:val="en-US"/>
        </w:rPr>
        <w:t>m</w:t>
      </w:r>
      <w:bookmarkEnd w:id="51"/>
      <w:bookmarkEnd w:id="52"/>
      <w:r>
        <w:t xml:space="preserve"> </w:t>
      </w:r>
    </w:p>
    <w:p>
      <w:pPr>
        <w:pStyle w:val="style0"/>
        <w:rPr/>
      </w:pPr>
    </w:p>
    <w:p>
      <w:pPr>
        <w:pStyle w:val="style0"/>
        <w:keepNext/>
        <w:spacing w:before="240"/>
        <w:jc w:val="center"/>
        <w:rPr/>
      </w:pPr>
      <w:r>
        <w:rPr>
          <w:noProof/>
        </w:rPr>
        <w:drawing>
          <wp:inline distL="0" distT="0" distB="0" distR="0">
            <wp:extent cx="1828800" cy="1719072"/>
            <wp:effectExtent l="0" t="0" r="0" b="0"/>
            <wp:docPr id="1052" name="Εικόνα 1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5" name="Εικόνα 17"/>
                    <pic:cNvPicPr/>
                  </pic:nvPicPr>
                  <pic:blipFill>
                    <a:blip r:embed="rId27" cstate="print"/>
                    <a:srcRect l="0" t="0" r="0" b="0"/>
                    <a:stretch/>
                  </pic:blipFill>
                  <pic:spPr>
                    <a:xfrm rot="0">
                      <a:off x="0" y="0"/>
                      <a:ext cx="1828800" cy="1719072"/>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26</w:t>
      </w:r>
      <w:r>
        <w:rPr/>
        <w:fldChar w:fldCharType="end"/>
      </w:r>
      <w:r>
        <w:t xml:space="preserve"> Δομή με </w:t>
      </w:r>
      <w:r>
        <w:rPr>
          <w:lang w:val="en-US"/>
        </w:rPr>
        <w:t>l</w:t>
      </w:r>
      <w:r>
        <w:t xml:space="preserve">=0.028125 </w:t>
      </w:r>
      <w:r>
        <w:rPr>
          <w:lang w:val="en-US"/>
        </w:rPr>
        <w:t>m</w:t>
      </w:r>
    </w:p>
    <w:p>
      <w:pPr>
        <w:pStyle w:val="style0"/>
        <w:spacing w:before="240"/>
        <w:rPr/>
      </w:pPr>
      <w:r>
        <w:t>Με διάγραμμα ιδιοσυχνοτήτων:</w:t>
      </w:r>
    </w:p>
    <w:p>
      <w:pPr>
        <w:pStyle w:val="style0"/>
        <w:keepNext/>
        <w:spacing w:before="240"/>
        <w:jc w:val="center"/>
        <w:rPr/>
      </w:pPr>
      <w:r>
        <w:rPr>
          <w:noProof/>
        </w:rPr>
        <w:drawing>
          <wp:inline distL="0" distT="0" distB="0" distR="0">
            <wp:extent cx="5274310" cy="2505075"/>
            <wp:effectExtent l="0" t="0" r="2540" b="9525"/>
            <wp:docPr id="1053" name="Εικόνα 5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6" name="Εικόνα 54"/>
                    <pic:cNvPicPr/>
                  </pic:nvPicPr>
                  <pic:blipFill>
                    <a:blip r:embed="rId28" cstate="print"/>
                    <a:srcRect l="0" t="0" r="0" b="0"/>
                    <a:stretch/>
                  </pic:blipFill>
                  <pic:spPr>
                    <a:xfrm rot="0">
                      <a:off x="0" y="0"/>
                      <a:ext cx="5274310" cy="2505075"/>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27</w:t>
      </w:r>
      <w:r>
        <w:rPr/>
        <w:fldChar w:fldCharType="end"/>
      </w:r>
      <w:r>
        <w:t xml:space="preserve"> </w:t>
      </w:r>
      <w:r>
        <w:t>Διάγραμμα απόκρισης δ</w:t>
      </w:r>
      <w:r>
        <w:t>ομ</w:t>
      </w:r>
      <w:r>
        <w:t xml:space="preserve">ής με </w:t>
      </w:r>
      <w:r>
        <w:rPr>
          <w:lang w:val="en-US"/>
        </w:rPr>
        <w:t>l</w:t>
      </w:r>
      <w:r>
        <w:t>=</w:t>
      </w:r>
      <w:r>
        <w:t>0.028125 m</w:t>
      </w:r>
    </w:p>
    <w:p>
      <w:pPr>
        <w:pStyle w:val="style0"/>
        <w:spacing w:before="240"/>
        <w:rPr/>
      </w:pPr>
      <w:r>
        <w:t xml:space="preserve">Στο διάγραμμα </w:t>
      </w:r>
      <w:r>
        <w:t xml:space="preserve">παρατηρούνται </w:t>
      </w:r>
      <w:r>
        <w:t>6</w:t>
      </w:r>
      <w:r>
        <w:t xml:space="preserve"> ολικά </w:t>
      </w:r>
      <w:r>
        <w:rPr>
          <w:lang w:val="en-US"/>
        </w:rPr>
        <w:t>band</w:t>
      </w:r>
      <w:r>
        <w:t xml:space="preserve"> </w:t>
      </w:r>
      <w:r>
        <w:rPr>
          <w:lang w:val="en-US"/>
        </w:rPr>
        <w:t>gaps</w:t>
      </w:r>
      <w:r>
        <w:t>. Ειδικότερα, ανάμεσα σε 4</w:t>
      </w:r>
      <w:r>
        <w:rPr>
          <w:vertAlign w:val="superscript"/>
        </w:rPr>
        <w:t>η</w:t>
      </w:r>
      <w:r>
        <w:t xml:space="preserve"> και 5</w:t>
      </w:r>
      <w:r>
        <w:rPr>
          <w:vertAlign w:val="superscript"/>
        </w:rPr>
        <w:t>η</w:t>
      </w:r>
      <w:r>
        <w:t xml:space="preserve"> ιδιοσυχνότητα (2947-3099</w:t>
      </w:r>
      <w:r>
        <w:t xml:space="preserve"> </w:t>
      </w:r>
      <w:r>
        <w:rPr>
          <w:lang w:val="en-US"/>
        </w:rPr>
        <w:t>Hz</w:t>
      </w:r>
      <w:r>
        <w:t>), σε 9</w:t>
      </w:r>
      <w:r>
        <w:rPr>
          <w:vertAlign w:val="superscript"/>
        </w:rPr>
        <w:t>η</w:t>
      </w:r>
      <w:r>
        <w:t xml:space="preserve"> και 10</w:t>
      </w:r>
      <w:r>
        <w:rPr>
          <w:vertAlign w:val="superscript"/>
        </w:rPr>
        <w:t>η</w:t>
      </w:r>
      <w:r>
        <w:t xml:space="preserve"> ιδιοσυχνότητα (7797-7824 </w:t>
      </w:r>
      <w:r>
        <w:rPr>
          <w:lang w:val="en-US"/>
        </w:rPr>
        <w:t>Hz</w:t>
      </w:r>
      <w:r>
        <w:t>), σε 10</w:t>
      </w:r>
      <w:r>
        <w:rPr>
          <w:vertAlign w:val="superscript"/>
        </w:rPr>
        <w:t>η</w:t>
      </w:r>
      <w:r>
        <w:t xml:space="preserve"> και 11</w:t>
      </w:r>
      <w:r>
        <w:rPr>
          <w:vertAlign w:val="superscript"/>
        </w:rPr>
        <w:t>η</w:t>
      </w:r>
      <w:r>
        <w:t xml:space="preserve"> ιδιοσυχνότητα (</w:t>
      </w:r>
      <w:r>
        <w:t>8197</w:t>
      </w:r>
      <w:r>
        <w:t xml:space="preserve">-9550 </w:t>
      </w:r>
      <w:r>
        <w:rPr>
          <w:lang w:val="en-US"/>
        </w:rPr>
        <w:t>Hz</w:t>
      </w:r>
      <w:r>
        <w:t>), σε 11</w:t>
      </w:r>
      <w:r>
        <w:rPr>
          <w:vertAlign w:val="superscript"/>
        </w:rPr>
        <w:t>η</w:t>
      </w:r>
      <w:r>
        <w:t xml:space="preserve"> και 12</w:t>
      </w:r>
      <w:r>
        <w:rPr>
          <w:vertAlign w:val="superscript"/>
        </w:rPr>
        <w:t>η</w:t>
      </w:r>
      <w:r>
        <w:t xml:space="preserve"> ιδιοσυχνότητα (</w:t>
      </w:r>
      <w:r>
        <w:t>9615</w:t>
      </w:r>
      <w:r>
        <w:t xml:space="preserve">-10488 </w:t>
      </w:r>
      <w:r>
        <w:rPr>
          <w:lang w:val="en-US"/>
        </w:rPr>
        <w:t>Hz</w:t>
      </w:r>
      <w:r>
        <w:t>), σε 13</w:t>
      </w:r>
      <w:r>
        <w:rPr>
          <w:vertAlign w:val="superscript"/>
        </w:rPr>
        <w:t>η</w:t>
      </w:r>
      <w:r>
        <w:t xml:space="preserve"> και 14</w:t>
      </w:r>
      <w:r>
        <w:rPr>
          <w:vertAlign w:val="superscript"/>
        </w:rPr>
        <w:t>η</w:t>
      </w:r>
      <w:r>
        <w:t xml:space="preserve"> ιδιοσυχνότητα (</w:t>
      </w:r>
      <w:r>
        <w:t>10676-</w:t>
      </w:r>
      <w:r>
        <w:t xml:space="preserve">12002 </w:t>
      </w:r>
      <w:r>
        <w:rPr>
          <w:lang w:val="en-US"/>
        </w:rPr>
        <w:t>Hz</w:t>
      </w:r>
      <w:r>
        <w:t>), σε 19</w:t>
      </w:r>
      <w:r>
        <w:rPr>
          <w:vertAlign w:val="superscript"/>
        </w:rPr>
        <w:t>η</w:t>
      </w:r>
      <w:r>
        <w:t xml:space="preserve"> και 20</w:t>
      </w:r>
      <w:r>
        <w:rPr>
          <w:vertAlign w:val="superscript"/>
        </w:rPr>
        <w:t>η</w:t>
      </w:r>
      <w:r>
        <w:t xml:space="preserve"> ιδιοσυχνότητα (15092-15834 </w:t>
      </w:r>
      <w:r>
        <w:rPr>
          <w:lang w:val="en-US"/>
        </w:rPr>
        <w:t>Hz</w:t>
      </w:r>
      <w:r>
        <w:t>).</w:t>
      </w:r>
    </w:p>
    <w:p>
      <w:pPr>
        <w:pStyle w:val="style0"/>
        <w:rPr>
          <w:rFonts w:ascii="Calibri Light" w:cs="宋体" w:eastAsia="宋体" w:hAnsi="Calibri Light"/>
          <w:color w:val="1f3763"/>
          <w:sz w:val="24"/>
          <w:szCs w:val="24"/>
        </w:rPr>
      </w:pPr>
      <w:r>
        <w:br w:type="page"/>
      </w:r>
    </w:p>
    <w:bookmarkStart w:id="53" w:name="_Toc66524608"/>
    <w:bookmarkStart w:id="54" w:name="_Toc77270445"/>
    <w:p>
      <w:pPr>
        <w:pStyle w:val="style3"/>
        <w:rPr/>
      </w:pPr>
      <w:r>
        <w:rPr>
          <w:lang w:val="en-US"/>
        </w:rPr>
        <w:t>l</w:t>
      </w:r>
      <w:r>
        <w:t xml:space="preserve">=0.03125 </w:t>
      </w:r>
      <w:r>
        <w:rPr>
          <w:lang w:val="en-US"/>
        </w:rPr>
        <w:t>m</w:t>
      </w:r>
      <w:bookmarkEnd w:id="53"/>
      <w:bookmarkEnd w:id="54"/>
      <w:r>
        <w:t xml:space="preserve"> </w:t>
      </w:r>
    </w:p>
    <w:p>
      <w:pPr>
        <w:pStyle w:val="style3"/>
        <w:rPr/>
      </w:pPr>
    </w:p>
    <w:p>
      <w:pPr>
        <w:pStyle w:val="style0"/>
        <w:keepNext/>
        <w:spacing w:before="240"/>
        <w:jc w:val="center"/>
        <w:rPr/>
      </w:pPr>
      <w:r>
        <w:rPr>
          <w:noProof/>
        </w:rPr>
        <w:drawing>
          <wp:inline distL="0" distT="0" distB="0" distR="0">
            <wp:extent cx="1828800" cy="1755647"/>
            <wp:effectExtent l="0" t="0" r="0" b="0"/>
            <wp:docPr id="1054" name="Εικόνα 1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7" name="Εικόνα 19"/>
                    <pic:cNvPicPr/>
                  </pic:nvPicPr>
                  <pic:blipFill>
                    <a:blip r:embed="rId29" cstate="print"/>
                    <a:srcRect l="0" t="0" r="0" b="0"/>
                    <a:stretch/>
                  </pic:blipFill>
                  <pic:spPr>
                    <a:xfrm rot="0">
                      <a:off x="0" y="0"/>
                      <a:ext cx="1828800" cy="1755647"/>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28</w:t>
      </w:r>
      <w:r>
        <w:rPr/>
        <w:fldChar w:fldCharType="end"/>
      </w:r>
      <w:r>
        <w:t xml:space="preserve"> </w:t>
      </w:r>
      <w:r>
        <w:t xml:space="preserve">Δομή με </w:t>
      </w:r>
      <w:r>
        <w:rPr>
          <w:lang w:val="en-US"/>
        </w:rPr>
        <w:t>l</w:t>
      </w:r>
      <w:r>
        <w:t xml:space="preserve">=0.03125 </w:t>
      </w:r>
      <w:r>
        <w:rPr>
          <w:lang w:val="en-US"/>
        </w:rPr>
        <w:t>m</w:t>
      </w:r>
    </w:p>
    <w:p>
      <w:pPr>
        <w:pStyle w:val="style0"/>
        <w:spacing w:before="240"/>
        <w:rPr/>
      </w:pPr>
      <w:r>
        <w:t>Με διάγραμμα ιδιοσυχνοτήτων:</w:t>
      </w:r>
    </w:p>
    <w:p>
      <w:pPr>
        <w:pStyle w:val="style0"/>
        <w:keepNext/>
        <w:spacing w:before="240"/>
        <w:jc w:val="center"/>
        <w:rPr/>
      </w:pPr>
      <w:r>
        <w:rPr>
          <w:noProof/>
        </w:rPr>
        <w:drawing>
          <wp:inline distL="0" distT="0" distB="0" distR="0">
            <wp:extent cx="5274310" cy="2505075"/>
            <wp:effectExtent l="0" t="0" r="2540" b="9525"/>
            <wp:docPr id="1055" name="Εικόνα 5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8" name="Εικόνα 55"/>
                    <pic:cNvPicPr/>
                  </pic:nvPicPr>
                  <pic:blipFill>
                    <a:blip r:embed="rId30" cstate="print"/>
                    <a:srcRect l="0" t="0" r="0" b="0"/>
                    <a:stretch/>
                  </pic:blipFill>
                  <pic:spPr>
                    <a:xfrm rot="0">
                      <a:off x="0" y="0"/>
                      <a:ext cx="5274310" cy="2505075"/>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29</w:t>
      </w:r>
      <w:r>
        <w:rPr/>
        <w:fldChar w:fldCharType="end"/>
      </w:r>
      <w:r>
        <w:t xml:space="preserve"> Διάγραμμα απόκρισης δομής με </w:t>
      </w:r>
      <w:r>
        <w:rPr>
          <w:lang w:val="en-US"/>
        </w:rPr>
        <w:t>l</w:t>
      </w:r>
      <w:r>
        <w:t xml:space="preserve">=0.03125 </w:t>
      </w:r>
      <w:r>
        <w:rPr>
          <w:lang w:val="en-US"/>
        </w:rPr>
        <w:t>m</w:t>
      </w:r>
    </w:p>
    <w:p>
      <w:pPr>
        <w:pStyle w:val="style0"/>
        <w:spacing w:before="240"/>
        <w:rPr/>
      </w:pPr>
      <w:r>
        <w:t>Στο διάγραμμα βρίσκουμε</w:t>
      </w:r>
      <w:r>
        <w:t xml:space="preserve"> </w:t>
      </w:r>
      <w:r>
        <w:t>6</w:t>
      </w:r>
      <w:r>
        <w:t xml:space="preserve"> ολικά </w:t>
      </w:r>
      <w:r>
        <w:rPr>
          <w:lang w:val="en-US"/>
        </w:rPr>
        <w:t>band</w:t>
      </w:r>
      <w:r>
        <w:t xml:space="preserve"> </w:t>
      </w:r>
      <w:r>
        <w:rPr>
          <w:lang w:val="en-US"/>
        </w:rPr>
        <w:t>gaps</w:t>
      </w:r>
      <w:r>
        <w:t xml:space="preserve">. </w:t>
      </w:r>
      <w:r>
        <w:t>Ανάμεσα σε 9</w:t>
      </w:r>
      <w:r>
        <w:rPr>
          <w:vertAlign w:val="superscript"/>
        </w:rPr>
        <w:t>η</w:t>
      </w:r>
      <w:r>
        <w:t xml:space="preserve"> και 10</w:t>
      </w:r>
      <w:r>
        <w:rPr>
          <w:vertAlign w:val="superscript"/>
        </w:rPr>
        <w:t>η</w:t>
      </w:r>
      <w:r>
        <w:t xml:space="preserve"> ιδιοσυχνότητα (7005-7670 </w:t>
      </w:r>
      <w:r>
        <w:rPr>
          <w:lang w:val="en-US"/>
        </w:rPr>
        <w:t>Hz</w:t>
      </w:r>
      <w:r>
        <w:t>), σε 10</w:t>
      </w:r>
      <w:r>
        <w:rPr>
          <w:vertAlign w:val="superscript"/>
        </w:rPr>
        <w:t>η</w:t>
      </w:r>
      <w:r>
        <w:t xml:space="preserve"> και 11</w:t>
      </w:r>
      <w:r>
        <w:rPr>
          <w:vertAlign w:val="superscript"/>
        </w:rPr>
        <w:t>η</w:t>
      </w:r>
      <w:r>
        <w:t xml:space="preserve"> ιδιοσυχνότητα (</w:t>
      </w:r>
      <w:r>
        <w:t>8140</w:t>
      </w:r>
      <w:r>
        <w:t xml:space="preserve">-9550 </w:t>
      </w:r>
      <w:r>
        <w:rPr>
          <w:lang w:val="en-US"/>
        </w:rPr>
        <w:t>Hz</w:t>
      </w:r>
      <w:r>
        <w:t>), σε 11</w:t>
      </w:r>
      <w:r>
        <w:rPr>
          <w:vertAlign w:val="superscript"/>
        </w:rPr>
        <w:t>η</w:t>
      </w:r>
      <w:r>
        <w:t xml:space="preserve"> και 12</w:t>
      </w:r>
      <w:r>
        <w:rPr>
          <w:vertAlign w:val="superscript"/>
        </w:rPr>
        <w:t>η</w:t>
      </w:r>
      <w:r>
        <w:t xml:space="preserve"> ιδιοσυχνότητα (</w:t>
      </w:r>
      <w:r>
        <w:t>95</w:t>
      </w:r>
      <w:r>
        <w:t>9</w:t>
      </w:r>
      <w:r>
        <w:t>3</w:t>
      </w:r>
      <w:r>
        <w:t xml:space="preserve">-9805 </w:t>
      </w:r>
      <w:r>
        <w:rPr>
          <w:lang w:val="en-US"/>
        </w:rPr>
        <w:t>Hz</w:t>
      </w:r>
      <w:r>
        <w:t>), σε 15</w:t>
      </w:r>
      <w:r>
        <w:rPr>
          <w:vertAlign w:val="superscript"/>
        </w:rPr>
        <w:t>η</w:t>
      </w:r>
      <w:r>
        <w:t xml:space="preserve"> και 16</w:t>
      </w:r>
      <w:r>
        <w:rPr>
          <w:vertAlign w:val="superscript"/>
        </w:rPr>
        <w:t>η</w:t>
      </w:r>
      <w:r>
        <w:t xml:space="preserve"> ιδιοσυχνότητα (</w:t>
      </w:r>
      <w:r>
        <w:t>11956-</w:t>
      </w:r>
      <w:r>
        <w:t xml:space="preserve">13096 </w:t>
      </w:r>
      <w:r>
        <w:rPr>
          <w:lang w:val="en-US"/>
        </w:rPr>
        <w:t>Hz</w:t>
      </w:r>
      <w:r>
        <w:t>), σε 17</w:t>
      </w:r>
      <w:r>
        <w:rPr>
          <w:vertAlign w:val="superscript"/>
        </w:rPr>
        <w:t>η</w:t>
      </w:r>
      <w:r>
        <w:t xml:space="preserve"> και 18</w:t>
      </w:r>
      <w:r>
        <w:rPr>
          <w:vertAlign w:val="superscript"/>
        </w:rPr>
        <w:t>η</w:t>
      </w:r>
      <w:r>
        <w:t xml:space="preserve"> ιδιοσυχνότητα (</w:t>
      </w:r>
      <w:r>
        <w:t>13668-</w:t>
      </w:r>
      <w:r>
        <w:t xml:space="preserve">14674 </w:t>
      </w:r>
      <w:r>
        <w:rPr>
          <w:lang w:val="en-US"/>
        </w:rPr>
        <w:t>Hz</w:t>
      </w:r>
      <w:r>
        <w:t>), σε 19</w:t>
      </w:r>
      <w:r>
        <w:rPr>
          <w:vertAlign w:val="superscript"/>
        </w:rPr>
        <w:t>η</w:t>
      </w:r>
      <w:r>
        <w:t xml:space="preserve"> και 20</w:t>
      </w:r>
      <w:r>
        <w:rPr>
          <w:vertAlign w:val="superscript"/>
        </w:rPr>
        <w:t>η</w:t>
      </w:r>
      <w:r>
        <w:t xml:space="preserve"> ιδιοσυχνότητα (</w:t>
      </w:r>
      <w:r>
        <w:t xml:space="preserve">15028-15576 </w:t>
      </w:r>
      <w:r>
        <w:rPr>
          <w:lang w:val="en-US"/>
        </w:rPr>
        <w:t>Hz</w:t>
      </w:r>
      <w:r>
        <w:t>).</w:t>
      </w:r>
      <w:r>
        <w:br w:type="page"/>
      </w:r>
    </w:p>
    <w:bookmarkStart w:id="55" w:name="_Toc66524609"/>
    <w:bookmarkStart w:id="56" w:name="_Toc77270446"/>
    <w:p>
      <w:pPr>
        <w:pStyle w:val="style2"/>
        <w:rPr/>
      </w:pPr>
      <w:r>
        <w:t xml:space="preserve">Προσομοίωση με παραμετροποίηση πυκνότητας κυκλικού εγκλείσματος </w:t>
      </w:r>
      <w:r>
        <w:t>(</w:t>
      </w:r>
      <w:r>
        <w:t>ρ</w:t>
      </w:r>
      <w:r>
        <w:t>)</w:t>
      </w:r>
      <w:bookmarkEnd w:id="55"/>
      <w:bookmarkEnd w:id="56"/>
    </w:p>
    <w:p>
      <w:pPr>
        <w:pStyle w:val="style0"/>
        <w:rPr/>
      </w:pPr>
    </w:p>
    <w:p>
      <w:pPr>
        <w:pStyle w:val="style0"/>
        <w:spacing w:before="240"/>
        <w:rPr/>
      </w:pPr>
      <w:r>
        <w:t xml:space="preserve">Συνεχίζοντας, θέλουμε να δούμε την επίδραση που θα έχει η μεταβολή της τιμής της πυκνότητας του υλικού του πυρήνα ως προς την δημιουργία </w:t>
      </w:r>
      <w:r>
        <w:rPr>
          <w:lang w:val="en-US"/>
        </w:rPr>
        <w:t>band</w:t>
      </w:r>
      <w:r>
        <w:t xml:space="preserve"> </w:t>
      </w:r>
      <w:r>
        <w:rPr>
          <w:lang w:val="en-US"/>
        </w:rPr>
        <w:t>gap</w:t>
      </w:r>
      <w:r>
        <w:t>.</w:t>
      </w:r>
      <w:r>
        <w:t xml:space="preserve"> Για αυτό τον λόγο θεωρούμε ένα υλικό με τις ίδιες ιδιότητες με το υλικό</w:t>
      </w:r>
      <w:r>
        <w:t xml:space="preserve"> του</w:t>
      </w:r>
      <w:r>
        <w:t xml:space="preserve"> πυρήνα, ίδιο δείκτη </w:t>
      </w:r>
      <w:r>
        <w:rPr>
          <w:lang w:val="en-US"/>
        </w:rPr>
        <w:t>Poisson</w:t>
      </w:r>
      <w:r>
        <w:t xml:space="preserve"> και ίδια τιμή </w:t>
      </w:r>
      <w:r>
        <w:rPr>
          <w:lang w:val="en-US"/>
        </w:rPr>
        <w:t>Young</w:t>
      </w:r>
      <w:r>
        <w:t>’</w:t>
      </w:r>
      <w:r>
        <w:rPr>
          <w:lang w:val="en-US"/>
        </w:rPr>
        <w:t>s</w:t>
      </w:r>
      <w:r>
        <w:t xml:space="preserve"> </w:t>
      </w:r>
      <w:r>
        <w:rPr>
          <w:lang w:val="en-US"/>
        </w:rPr>
        <w:t>Modulus</w:t>
      </w:r>
      <w:r>
        <w:t>, αλλά με πυκνότητα που να μεταβάλλεται</w:t>
      </w:r>
      <w:r>
        <w:t xml:space="preserve"> με εύρος </w:t>
      </w:r>
      <w:r>
        <w:rPr>
          <w:rFonts w:cs="Calibri"/>
        </w:rPr>
        <w:t>±</w:t>
      </w:r>
      <w:r>
        <w:t>20% από την αρχική και</w:t>
      </w:r>
      <w:r>
        <w:t xml:space="preserve"> με βήμα</w:t>
      </w:r>
      <w:r>
        <w:t xml:space="preserve"> </w:t>
      </w:r>
      <w:r>
        <w:t xml:space="preserve">κοντά στο </w:t>
      </w:r>
      <w:r>
        <w:t>10%</w:t>
      </w:r>
      <w:r>
        <w:t xml:space="preserve"> </w:t>
      </w:r>
      <w:r>
        <w:t>(</w:t>
      </w:r>
      <w:r>
        <w:t>900</w:t>
      </w:r>
      <w:r>
        <w:t xml:space="preserve"> </w:t>
      </w:r>
      <w:r>
        <w:rPr>
          <w:lang w:val="en-US"/>
        </w:rPr>
        <w:t>kg</w:t>
      </w:r>
      <w:r>
        <w:t>/</w:t>
      </w:r>
      <w:r>
        <w:rPr>
          <w:lang w:val="en-US"/>
        </w:rPr>
        <w:t>m</w:t>
      </w:r>
      <w:r>
        <w:rPr>
          <w:vertAlign w:val="superscript"/>
        </w:rPr>
        <w:t>3</w:t>
      </w:r>
      <w:r>
        <w:t>)</w:t>
      </w:r>
      <w:r>
        <w:t>.</w:t>
      </w:r>
      <w:r>
        <w:t xml:space="preserve"> Σημειώνεται πως όλα τα υπόλοιπα γεωμετρικά χαρακτηριστικά παραμένουν σταθερά.</w:t>
      </w:r>
    </w:p>
    <w:p>
      <w:pPr>
        <w:pStyle w:val="style0"/>
        <w:rPr/>
      </w:pPr>
    </w:p>
    <w:bookmarkStart w:id="57" w:name="_Toc66524610"/>
    <w:bookmarkStart w:id="58" w:name="_Toc77270447"/>
    <w:p>
      <w:pPr>
        <w:pStyle w:val="style3"/>
        <w:rPr>
          <w:vertAlign w:val="superscript"/>
        </w:rPr>
      </w:pPr>
      <w:r>
        <w:t>ρ</w:t>
      </w:r>
      <w:r>
        <w:t xml:space="preserve">=7160 </w:t>
      </w:r>
      <w:r>
        <w:rPr>
          <w:lang w:val="en-US"/>
        </w:rPr>
        <w:t>kg</w:t>
      </w:r>
      <w:r>
        <w:t>/</w:t>
      </w:r>
      <w:r>
        <w:rPr>
          <w:lang w:val="en-US"/>
        </w:rPr>
        <w:t>m</w:t>
      </w:r>
      <w:r>
        <w:rPr>
          <w:vertAlign w:val="superscript"/>
        </w:rPr>
        <w:t>3</w:t>
      </w:r>
      <w:bookmarkEnd w:id="57"/>
      <w:bookmarkEnd w:id="58"/>
    </w:p>
    <w:p>
      <w:pPr>
        <w:pStyle w:val="style0"/>
        <w:rPr/>
      </w:pPr>
    </w:p>
    <w:p>
      <w:pPr>
        <w:pStyle w:val="style0"/>
        <w:spacing w:before="240"/>
        <w:rPr/>
      </w:pPr>
      <w:r>
        <w:t>Το διάγραμμα που αναλογεί στην συγκεκριμένη επίλυση είναι:</w:t>
      </w:r>
    </w:p>
    <w:p>
      <w:pPr>
        <w:pStyle w:val="style0"/>
        <w:keepNext/>
        <w:spacing w:before="240"/>
        <w:jc w:val="center"/>
        <w:rPr/>
      </w:pPr>
      <w:r>
        <w:rPr>
          <w:noProof/>
        </w:rPr>
        <w:drawing>
          <wp:inline distL="0" distT="0" distB="0" distR="0">
            <wp:extent cx="5274310" cy="2505075"/>
            <wp:effectExtent l="0" t="0" r="2540" b="9525"/>
            <wp:docPr id="1056" name="Εικόνα 5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9" name="Εικόνα 56"/>
                    <pic:cNvPicPr/>
                  </pic:nvPicPr>
                  <pic:blipFill>
                    <a:blip r:embed="rId31" cstate="print"/>
                    <a:srcRect l="0" t="0" r="0" b="0"/>
                    <a:stretch/>
                  </pic:blipFill>
                  <pic:spPr>
                    <a:xfrm rot="0">
                      <a:off x="0" y="0"/>
                      <a:ext cx="5274310" cy="2505075"/>
                    </a:xfrm>
                    <a:prstGeom prst="rect"/>
                    <a:ln>
                      <a:noFill/>
                    </a:ln>
                  </pic:spPr>
                </pic:pic>
              </a:graphicData>
            </a:graphic>
          </wp:inline>
        </w:drawing>
      </w:r>
    </w:p>
    <w:p>
      <w:pPr>
        <w:pStyle w:val="style34"/>
        <w:jc w:val="center"/>
        <w:rPr>
          <w:vertAlign w:val="superscript"/>
        </w:rPr>
      </w:pPr>
      <w:r>
        <w:t xml:space="preserve">Εικόνα </w:t>
      </w:r>
      <w:r>
        <w:rPr/>
        <w:fldChar w:fldCharType="begin"/>
      </w:r>
      <w:r>
        <w:instrText xml:space="preserve"> SEQ Εικόνα \* ARABIC </w:instrText>
      </w:r>
      <w:r>
        <w:rPr/>
        <w:fldChar w:fldCharType="separate"/>
      </w:r>
      <w:r>
        <w:rPr>
          <w:noProof/>
        </w:rPr>
        <w:t>30</w:t>
      </w:r>
      <w:r>
        <w:rPr/>
        <w:fldChar w:fldCharType="end"/>
      </w:r>
      <w:r>
        <w:t xml:space="preserve"> Διάγραμμα απόκρισης δομής με </w:t>
      </w:r>
      <w:r>
        <w:t xml:space="preserve">ρ=7160 </w:t>
      </w:r>
      <w:r>
        <w:t>kg</w:t>
      </w:r>
      <w:r>
        <w:t>/m</w:t>
      </w:r>
      <w:r>
        <w:rPr>
          <w:vertAlign w:val="superscript"/>
        </w:rPr>
        <w:t>3</w:t>
      </w:r>
    </w:p>
    <w:p>
      <w:pPr>
        <w:pStyle w:val="style0"/>
        <w:spacing w:before="240"/>
        <w:rPr/>
      </w:pPr>
      <w:r>
        <w:t xml:space="preserve">Στο διάγραμμα </w:t>
      </w:r>
      <w:r>
        <w:t>παρατηρ</w:t>
      </w:r>
      <w:r>
        <w:t>ούν</w:t>
      </w:r>
      <w:r>
        <w:t>ται</w:t>
      </w:r>
      <w:r>
        <w:t xml:space="preserve"> 8 ολικά </w:t>
      </w:r>
      <w:r>
        <w:rPr>
          <w:lang w:val="en-US"/>
        </w:rPr>
        <w:t>band</w:t>
      </w:r>
      <w:r>
        <w:t xml:space="preserve"> </w:t>
      </w:r>
      <w:r>
        <w:rPr>
          <w:lang w:val="en-US"/>
        </w:rPr>
        <w:t>gaps</w:t>
      </w:r>
      <w:r>
        <w:t>. Ειδικότερα, ανάμεσα σε 2</w:t>
      </w:r>
      <w:r>
        <w:rPr>
          <w:vertAlign w:val="superscript"/>
        </w:rPr>
        <w:t>η</w:t>
      </w:r>
      <w:r>
        <w:t xml:space="preserve"> και 3</w:t>
      </w:r>
      <w:r>
        <w:rPr>
          <w:vertAlign w:val="superscript"/>
        </w:rPr>
        <w:t>η</w:t>
      </w:r>
      <w:r>
        <w:t xml:space="preserve"> ιδιοσυχνότητα (2935-3028</w:t>
      </w:r>
      <w:r>
        <w:t xml:space="preserve"> </w:t>
      </w:r>
      <w:r>
        <w:rPr>
          <w:lang w:val="en-US"/>
        </w:rPr>
        <w:t>Hz</w:t>
      </w:r>
      <w:r>
        <w:t>)</w:t>
      </w:r>
      <w:r>
        <w:t>, σε 4</w:t>
      </w:r>
      <w:r>
        <w:rPr>
          <w:vertAlign w:val="superscript"/>
        </w:rPr>
        <w:t>η</w:t>
      </w:r>
      <w:r>
        <w:t xml:space="preserve"> και 5</w:t>
      </w:r>
      <w:r>
        <w:rPr>
          <w:vertAlign w:val="superscript"/>
        </w:rPr>
        <w:t>η</w:t>
      </w:r>
      <w:r>
        <w:t xml:space="preserve"> ιδιοσυχνότητα (3260-3443</w:t>
      </w:r>
      <w:r>
        <w:t xml:space="preserve"> </w:t>
      </w:r>
      <w:r>
        <w:rPr>
          <w:lang w:val="en-US"/>
        </w:rPr>
        <w:t>Hz</w:t>
      </w:r>
      <w:r>
        <w:t xml:space="preserve">), </w:t>
      </w:r>
      <w:r>
        <w:t>σε 10</w:t>
      </w:r>
      <w:r>
        <w:rPr>
          <w:vertAlign w:val="superscript"/>
        </w:rPr>
        <w:t>η</w:t>
      </w:r>
      <w:r>
        <w:t xml:space="preserve"> και 11</w:t>
      </w:r>
      <w:r>
        <w:rPr>
          <w:vertAlign w:val="superscript"/>
        </w:rPr>
        <w:t>η</w:t>
      </w:r>
      <w:r>
        <w:t xml:space="preserve"> ιδιοσυχνότητα (9630-9700 </w:t>
      </w:r>
      <w:r>
        <w:rPr>
          <w:lang w:val="en-US"/>
        </w:rPr>
        <w:t>Hz</w:t>
      </w:r>
      <w:r>
        <w:t xml:space="preserve">), </w:t>
      </w:r>
      <w:r>
        <w:t>σε 11</w:t>
      </w:r>
      <w:r>
        <w:rPr>
          <w:vertAlign w:val="superscript"/>
        </w:rPr>
        <w:t>η</w:t>
      </w:r>
      <w:r>
        <w:t xml:space="preserve"> και 12</w:t>
      </w:r>
      <w:r>
        <w:rPr>
          <w:vertAlign w:val="superscript"/>
        </w:rPr>
        <w:t>η</w:t>
      </w:r>
      <w:r>
        <w:t xml:space="preserve"> ιδιοσυχνότητα (10050-10515 </w:t>
      </w:r>
      <w:r>
        <w:rPr>
          <w:lang w:val="en-US"/>
        </w:rPr>
        <w:t>Hz</w:t>
      </w:r>
      <w:r>
        <w:t xml:space="preserve">), </w:t>
      </w:r>
      <w:r>
        <w:t xml:space="preserve"> σε 13</w:t>
      </w:r>
      <w:r>
        <w:rPr>
          <w:vertAlign w:val="superscript"/>
        </w:rPr>
        <w:t>η</w:t>
      </w:r>
      <w:r>
        <w:t xml:space="preserve"> και 14</w:t>
      </w:r>
      <w:r>
        <w:rPr>
          <w:vertAlign w:val="superscript"/>
        </w:rPr>
        <w:t>η</w:t>
      </w:r>
      <w:r>
        <w:t xml:space="preserve"> ιδιοσυχνότητα (10724-13110 </w:t>
      </w:r>
      <w:r>
        <w:rPr>
          <w:lang w:val="en-US"/>
        </w:rPr>
        <w:t>Hz</w:t>
      </w:r>
      <w:r>
        <w:t xml:space="preserve">), </w:t>
      </w:r>
      <w:r>
        <w:t>σε 14</w:t>
      </w:r>
      <w:r>
        <w:rPr>
          <w:vertAlign w:val="superscript"/>
        </w:rPr>
        <w:t>η</w:t>
      </w:r>
      <w:r>
        <w:t xml:space="preserve"> και 15</w:t>
      </w:r>
      <w:r>
        <w:rPr>
          <w:vertAlign w:val="superscript"/>
        </w:rPr>
        <w:t>η</w:t>
      </w:r>
      <w:r>
        <w:t xml:space="preserve"> ιδιοσυχνότητα (13340-13575 </w:t>
      </w:r>
      <w:r>
        <w:rPr>
          <w:lang w:val="en-US"/>
        </w:rPr>
        <w:t>Hz</w:t>
      </w:r>
      <w:r>
        <w:t>)</w:t>
      </w:r>
      <w:r>
        <w:t>, σε 15</w:t>
      </w:r>
      <w:r>
        <w:rPr>
          <w:vertAlign w:val="superscript"/>
        </w:rPr>
        <w:t>η</w:t>
      </w:r>
      <w:r>
        <w:t xml:space="preserve"> και 16</w:t>
      </w:r>
      <w:r>
        <w:rPr>
          <w:vertAlign w:val="superscript"/>
        </w:rPr>
        <w:t>η</w:t>
      </w:r>
      <w:r>
        <w:t xml:space="preserve"> ιδιοσυχνότητα (13690-14525</w:t>
      </w:r>
      <w:r>
        <w:t xml:space="preserve"> </w:t>
      </w:r>
      <w:r>
        <w:rPr>
          <w:lang w:val="en-US"/>
        </w:rPr>
        <w:t>Hz</w:t>
      </w:r>
      <w:r>
        <w:t>)</w:t>
      </w:r>
      <w:r>
        <w:t xml:space="preserve"> και σε 17</w:t>
      </w:r>
      <w:r>
        <w:rPr>
          <w:vertAlign w:val="superscript"/>
        </w:rPr>
        <w:t>η</w:t>
      </w:r>
      <w:r>
        <w:t xml:space="preserve"> και 18</w:t>
      </w:r>
      <w:r>
        <w:rPr>
          <w:vertAlign w:val="superscript"/>
        </w:rPr>
        <w:t>η</w:t>
      </w:r>
      <w:r>
        <w:t xml:space="preserve"> ιδιοσυχνότητα (15000-15390 </w:t>
      </w:r>
      <w:r>
        <w:rPr>
          <w:lang w:val="en-US"/>
        </w:rPr>
        <w:t>Hz</w:t>
      </w:r>
      <w:r>
        <w:t>).</w:t>
      </w:r>
    </w:p>
    <w:p>
      <w:pPr>
        <w:pStyle w:val="style0"/>
        <w:rPr>
          <w:rFonts w:ascii="Calibri Light" w:cs="宋体" w:eastAsia="宋体" w:hAnsi="Calibri Light"/>
          <w:color w:val="1f3763"/>
          <w:sz w:val="24"/>
          <w:szCs w:val="24"/>
        </w:rPr>
      </w:pPr>
      <w:r>
        <w:br w:type="page"/>
      </w:r>
    </w:p>
    <w:bookmarkStart w:id="59" w:name="_Toc66524611"/>
    <w:bookmarkStart w:id="60" w:name="_Toc77270448"/>
    <w:p>
      <w:pPr>
        <w:pStyle w:val="style3"/>
        <w:rPr>
          <w:vertAlign w:val="superscript"/>
        </w:rPr>
      </w:pPr>
      <w:r>
        <w:t>ρ</w:t>
      </w:r>
      <w:r>
        <w:t xml:space="preserve">= 8060 </w:t>
      </w:r>
      <w:r>
        <w:rPr>
          <w:lang w:val="en-US"/>
        </w:rPr>
        <w:t>kg</w:t>
      </w:r>
      <w:r>
        <w:t>/</w:t>
      </w:r>
      <w:r>
        <w:rPr>
          <w:lang w:val="en-US"/>
        </w:rPr>
        <w:t>m</w:t>
      </w:r>
      <w:r>
        <w:rPr>
          <w:vertAlign w:val="superscript"/>
        </w:rPr>
        <w:t>3</w:t>
      </w:r>
      <w:bookmarkEnd w:id="59"/>
      <w:bookmarkEnd w:id="60"/>
    </w:p>
    <w:p>
      <w:pPr>
        <w:pStyle w:val="style0"/>
        <w:rPr/>
      </w:pPr>
    </w:p>
    <w:p>
      <w:pPr>
        <w:pStyle w:val="style0"/>
        <w:spacing w:before="240"/>
        <w:rPr/>
      </w:pPr>
      <w:r>
        <w:t>Το διάγραμμα που αναλογεί στην συγκεκριμένη επίλυση είναι:</w:t>
      </w:r>
    </w:p>
    <w:p>
      <w:pPr>
        <w:pStyle w:val="style0"/>
        <w:keepNext/>
        <w:spacing w:before="240" w:lineRule="auto" w:line="360"/>
        <w:jc w:val="center"/>
        <w:rPr/>
      </w:pPr>
      <w:r>
        <w:rPr>
          <w:noProof/>
        </w:rPr>
        <w:drawing>
          <wp:inline distL="0" distT="0" distB="0" distR="0">
            <wp:extent cx="5274310" cy="2505075"/>
            <wp:effectExtent l="0" t="0" r="2540" b="9525"/>
            <wp:docPr id="1057" name="Εικόνα 5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0" name="Εικόνα 57"/>
                    <pic:cNvPicPr/>
                  </pic:nvPicPr>
                  <pic:blipFill>
                    <a:blip r:embed="rId32" cstate="print"/>
                    <a:srcRect l="0" t="0" r="0" b="0"/>
                    <a:stretch/>
                  </pic:blipFill>
                  <pic:spPr>
                    <a:xfrm rot="0">
                      <a:off x="0" y="0"/>
                      <a:ext cx="5274310" cy="2505075"/>
                    </a:xfrm>
                    <a:prstGeom prst="rect"/>
                    <a:ln>
                      <a:noFill/>
                    </a:ln>
                  </pic:spPr>
                </pic:pic>
              </a:graphicData>
            </a:graphic>
          </wp:inline>
        </w:drawing>
      </w:r>
    </w:p>
    <w:p>
      <w:pPr>
        <w:pStyle w:val="style34"/>
        <w:jc w:val="center"/>
        <w:rPr>
          <w:vertAlign w:val="superscript"/>
        </w:rPr>
      </w:pPr>
      <w:r>
        <w:t xml:space="preserve">Εικόνα </w:t>
      </w:r>
      <w:r>
        <w:rPr/>
        <w:fldChar w:fldCharType="begin"/>
      </w:r>
      <w:r>
        <w:instrText xml:space="preserve"> SEQ Εικόνα \* ARABIC </w:instrText>
      </w:r>
      <w:r>
        <w:rPr/>
        <w:fldChar w:fldCharType="separate"/>
      </w:r>
      <w:r>
        <w:rPr>
          <w:noProof/>
        </w:rPr>
        <w:t>31</w:t>
      </w:r>
      <w:r>
        <w:rPr/>
        <w:fldChar w:fldCharType="end"/>
      </w:r>
      <w:r>
        <w:t xml:space="preserve"> </w:t>
      </w:r>
      <w:r>
        <w:t>Διάγραμμα απόκρισης δομής με ρ=</w:t>
      </w:r>
      <w:r>
        <w:t>80</w:t>
      </w:r>
      <w:r>
        <w:t xml:space="preserve">60 </w:t>
      </w:r>
      <w:r>
        <w:t>kg</w:t>
      </w:r>
      <w:r>
        <w:t>/m</w:t>
      </w:r>
      <w:r>
        <w:rPr>
          <w:vertAlign w:val="superscript"/>
        </w:rPr>
        <w:t>3</w:t>
      </w:r>
    </w:p>
    <w:p>
      <w:pPr>
        <w:pStyle w:val="style0"/>
        <w:spacing w:before="240" w:lineRule="auto" w:line="360"/>
        <w:rPr/>
      </w:pPr>
      <w:r>
        <w:t xml:space="preserve">Στο διάγραμμα </w:t>
      </w:r>
      <w:r>
        <w:t xml:space="preserve">παρατηρούνται </w:t>
      </w:r>
      <w:r>
        <w:t xml:space="preserve">8 ολικά </w:t>
      </w:r>
      <w:r>
        <w:rPr>
          <w:lang w:val="en-US"/>
        </w:rPr>
        <w:t>band</w:t>
      </w:r>
      <w:r>
        <w:t xml:space="preserve"> </w:t>
      </w:r>
      <w:r>
        <w:rPr>
          <w:lang w:val="en-US"/>
        </w:rPr>
        <w:t>gaps</w:t>
      </w:r>
      <w:r>
        <w:t>. Πιο συγκεκριμένα, σε 2</w:t>
      </w:r>
      <w:r>
        <w:rPr>
          <w:vertAlign w:val="superscript"/>
        </w:rPr>
        <w:t>η</w:t>
      </w:r>
      <w:r>
        <w:t xml:space="preserve"> και 3</w:t>
      </w:r>
      <w:r>
        <w:rPr>
          <w:vertAlign w:val="superscript"/>
        </w:rPr>
        <w:t>η</w:t>
      </w:r>
      <w:r>
        <w:t xml:space="preserve"> ιδιοσυχνότητα (2933-3030</w:t>
      </w:r>
      <w:r>
        <w:t xml:space="preserve"> </w:t>
      </w:r>
      <w:r>
        <w:rPr>
          <w:lang w:val="en-US"/>
        </w:rPr>
        <w:t>Hz</w:t>
      </w:r>
      <w:r>
        <w:t>)</w:t>
      </w:r>
      <w:r>
        <w:t xml:space="preserve"> σε 4</w:t>
      </w:r>
      <w:r>
        <w:rPr>
          <w:vertAlign w:val="superscript"/>
        </w:rPr>
        <w:t>η</w:t>
      </w:r>
      <w:r>
        <w:t xml:space="preserve"> και 5</w:t>
      </w:r>
      <w:r>
        <w:rPr>
          <w:vertAlign w:val="superscript"/>
        </w:rPr>
        <w:t>η</w:t>
      </w:r>
      <w:r>
        <w:t xml:space="preserve"> ιδιοσυχνότητα (3091-3285 </w:t>
      </w:r>
      <w:r>
        <w:rPr>
          <w:lang w:val="en-US"/>
        </w:rPr>
        <w:t>Hz</w:t>
      </w:r>
      <w:r>
        <w:t xml:space="preserve">), </w:t>
      </w:r>
      <w:r>
        <w:t>σε 10</w:t>
      </w:r>
      <w:r>
        <w:rPr>
          <w:vertAlign w:val="superscript"/>
        </w:rPr>
        <w:t>η</w:t>
      </w:r>
      <w:r>
        <w:t xml:space="preserve"> και 11</w:t>
      </w:r>
      <w:r>
        <w:rPr>
          <w:vertAlign w:val="superscript"/>
        </w:rPr>
        <w:t>η</w:t>
      </w:r>
      <w:r>
        <w:t xml:space="preserve"> ιδιοσυχνότητα (9562-9617 </w:t>
      </w:r>
      <w:r>
        <w:rPr>
          <w:lang w:val="en-US"/>
        </w:rPr>
        <w:t>Hz</w:t>
      </w:r>
      <w:r>
        <w:t>)</w:t>
      </w:r>
      <w:r>
        <w:t>, σε 11</w:t>
      </w:r>
      <w:r>
        <w:rPr>
          <w:vertAlign w:val="superscript"/>
        </w:rPr>
        <w:t>η</w:t>
      </w:r>
      <w:r>
        <w:t xml:space="preserve"> και 12</w:t>
      </w:r>
      <w:r>
        <w:rPr>
          <w:vertAlign w:val="superscript"/>
        </w:rPr>
        <w:t>η</w:t>
      </w:r>
      <w:r>
        <w:t xml:space="preserve"> ιδιοσυχνότητα (10035-10503</w:t>
      </w:r>
      <w:r>
        <w:t xml:space="preserve"> </w:t>
      </w:r>
      <w:r>
        <w:rPr>
          <w:lang w:val="en-US"/>
        </w:rPr>
        <w:t>Hz</w:t>
      </w:r>
      <w:r>
        <w:t>)</w:t>
      </w:r>
      <w:r>
        <w:t>, σε 13</w:t>
      </w:r>
      <w:r>
        <w:rPr>
          <w:vertAlign w:val="superscript"/>
        </w:rPr>
        <w:t>η</w:t>
      </w:r>
      <w:r>
        <w:t xml:space="preserve"> και 14</w:t>
      </w:r>
      <w:r>
        <w:rPr>
          <w:vertAlign w:val="superscript"/>
        </w:rPr>
        <w:t>η</w:t>
      </w:r>
      <w:r>
        <w:t xml:space="preserve"> ιδιοσυχνότητα (10714-13110 </w:t>
      </w:r>
      <w:r>
        <w:rPr>
          <w:lang w:val="en-US"/>
        </w:rPr>
        <w:t>Hz</w:t>
      </w:r>
      <w:r>
        <w:t>)</w:t>
      </w:r>
      <w:r>
        <w:t>, σε 14</w:t>
      </w:r>
      <w:r>
        <w:rPr>
          <w:vertAlign w:val="superscript"/>
        </w:rPr>
        <w:t>η</w:t>
      </w:r>
      <w:r>
        <w:t xml:space="preserve"> και 15</w:t>
      </w:r>
      <w:r>
        <w:rPr>
          <w:vertAlign w:val="superscript"/>
        </w:rPr>
        <w:t>η</w:t>
      </w:r>
      <w:r>
        <w:t xml:space="preserve"> ιδιοσυχνότητα (13340-13575 </w:t>
      </w:r>
      <w:r>
        <w:rPr>
          <w:lang w:val="en-US"/>
        </w:rPr>
        <w:t>Hz</w:t>
      </w:r>
      <w:r>
        <w:t>)</w:t>
      </w:r>
      <w:r>
        <w:t>, σε 15</w:t>
      </w:r>
      <w:r>
        <w:rPr>
          <w:vertAlign w:val="superscript"/>
        </w:rPr>
        <w:t>η</w:t>
      </w:r>
      <w:r>
        <w:t xml:space="preserve"> και 16</w:t>
      </w:r>
      <w:r>
        <w:rPr>
          <w:vertAlign w:val="superscript"/>
        </w:rPr>
        <w:t>η</w:t>
      </w:r>
      <w:r>
        <w:t xml:space="preserve"> ιδιοσυχνότητα (13690-14525</w:t>
      </w:r>
      <w:r>
        <w:t xml:space="preserve"> </w:t>
      </w:r>
      <w:r>
        <w:rPr>
          <w:lang w:val="en-US"/>
        </w:rPr>
        <w:t>Hz</w:t>
      </w:r>
      <w:r>
        <w:t>)</w:t>
      </w:r>
      <w:r>
        <w:t xml:space="preserve"> και σε 17</w:t>
      </w:r>
      <w:r>
        <w:rPr>
          <w:vertAlign w:val="superscript"/>
        </w:rPr>
        <w:t>η</w:t>
      </w:r>
      <w:r>
        <w:t xml:space="preserve"> και 18</w:t>
      </w:r>
      <w:r>
        <w:rPr>
          <w:vertAlign w:val="superscript"/>
        </w:rPr>
        <w:t>η</w:t>
      </w:r>
      <w:r>
        <w:t xml:space="preserve"> ιδιοσυχνότητα (15000-15390 </w:t>
      </w:r>
      <w:r>
        <w:rPr>
          <w:lang w:val="en-US"/>
        </w:rPr>
        <w:t>Hz</w:t>
      </w:r>
      <w:r>
        <w:t>).</w:t>
      </w:r>
    </w:p>
    <w:p>
      <w:pPr>
        <w:pStyle w:val="style0"/>
        <w:rPr>
          <w:rFonts w:ascii="Calibri Light" w:cs="宋体" w:eastAsia="宋体" w:hAnsi="Calibri Light"/>
          <w:color w:val="1f3763"/>
          <w:sz w:val="24"/>
          <w:szCs w:val="24"/>
        </w:rPr>
      </w:pPr>
      <w:r>
        <w:br w:type="page"/>
      </w:r>
    </w:p>
    <w:bookmarkStart w:id="61" w:name="_Toc66524612"/>
    <w:bookmarkStart w:id="62" w:name="_Toc77270449"/>
    <w:p>
      <w:pPr>
        <w:pStyle w:val="style3"/>
        <w:rPr>
          <w:vertAlign w:val="superscript"/>
        </w:rPr>
      </w:pPr>
      <w:r>
        <w:t>ρ</w:t>
      </w:r>
      <w:r>
        <w:t>=9860</w:t>
      </w:r>
      <w:r>
        <w:rPr>
          <w:lang w:val="en-US"/>
        </w:rPr>
        <w:t>kg</w:t>
      </w:r>
      <w:r>
        <w:t>/</w:t>
      </w:r>
      <w:r>
        <w:rPr>
          <w:lang w:val="en-US"/>
        </w:rPr>
        <w:t>m</w:t>
      </w:r>
      <w:r>
        <w:rPr>
          <w:vertAlign w:val="superscript"/>
        </w:rPr>
        <w:t>3</w:t>
      </w:r>
      <w:bookmarkEnd w:id="61"/>
      <w:bookmarkEnd w:id="62"/>
    </w:p>
    <w:p>
      <w:pPr>
        <w:pStyle w:val="style0"/>
        <w:rPr/>
      </w:pPr>
    </w:p>
    <w:p>
      <w:pPr>
        <w:pStyle w:val="style0"/>
        <w:spacing w:before="240" w:lineRule="auto" w:line="360"/>
        <w:rPr/>
      </w:pPr>
      <w:r>
        <w:t>Το διάγραμμα που αναλογεί στην συγκεκριμένη επίλυση είναι:</w:t>
      </w:r>
    </w:p>
    <w:p>
      <w:pPr>
        <w:pStyle w:val="style0"/>
        <w:keepNext/>
        <w:spacing w:before="240" w:lineRule="auto" w:line="360"/>
        <w:jc w:val="center"/>
        <w:rPr/>
      </w:pPr>
      <w:r>
        <w:rPr>
          <w:noProof/>
        </w:rPr>
        <w:drawing>
          <wp:inline distL="0" distT="0" distB="0" distR="0">
            <wp:extent cx="5274310" cy="2505075"/>
            <wp:effectExtent l="0" t="0" r="2540" b="9525"/>
            <wp:docPr id="1058" name="Εικόνα 5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1" name="Εικόνα 58"/>
                    <pic:cNvPicPr/>
                  </pic:nvPicPr>
                  <pic:blipFill>
                    <a:blip r:embed="rId33" cstate="print"/>
                    <a:srcRect l="0" t="0" r="0" b="0"/>
                    <a:stretch/>
                  </pic:blipFill>
                  <pic:spPr>
                    <a:xfrm rot="0">
                      <a:off x="0" y="0"/>
                      <a:ext cx="5274310" cy="2505075"/>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32</w:t>
      </w:r>
      <w:r>
        <w:rPr/>
        <w:fldChar w:fldCharType="end"/>
      </w:r>
      <w:r>
        <w:t xml:space="preserve"> </w:t>
      </w:r>
      <w:r>
        <w:t>Διάγραμμα απόκρισης δομής με ρ=</w:t>
      </w:r>
      <w:r>
        <w:t>98</w:t>
      </w:r>
      <w:r>
        <w:t xml:space="preserve">60 </w:t>
      </w:r>
      <w:r>
        <w:t>kg</w:t>
      </w:r>
      <w:r>
        <w:t>/m</w:t>
      </w:r>
      <w:r>
        <w:rPr>
          <w:vertAlign w:val="superscript"/>
        </w:rPr>
        <w:t>3</w:t>
      </w:r>
    </w:p>
    <w:p>
      <w:pPr>
        <w:pStyle w:val="style0"/>
        <w:spacing w:before="240" w:lineRule="auto" w:line="360"/>
        <w:rPr/>
      </w:pPr>
      <w:r>
        <w:t xml:space="preserve">Προκύπτουν 6 ολικά </w:t>
      </w:r>
      <w:r>
        <w:rPr>
          <w:lang w:val="en-US"/>
        </w:rPr>
        <w:t>band</w:t>
      </w:r>
      <w:r>
        <w:t xml:space="preserve"> </w:t>
      </w:r>
      <w:r>
        <w:rPr>
          <w:lang w:val="en-US"/>
        </w:rPr>
        <w:t>gaps</w:t>
      </w:r>
      <w:r>
        <w:t>, ανάμεσα στη 10</w:t>
      </w:r>
      <w:r>
        <w:rPr>
          <w:vertAlign w:val="superscript"/>
        </w:rPr>
        <w:t>η</w:t>
      </w:r>
      <w:r>
        <w:t xml:space="preserve"> και 11</w:t>
      </w:r>
      <w:r>
        <w:rPr>
          <w:vertAlign w:val="superscript"/>
        </w:rPr>
        <w:t>η</w:t>
      </w:r>
      <w:r>
        <w:t xml:space="preserve"> ιδιοσυχνότητα (9460-9500</w:t>
      </w:r>
      <w:r>
        <w:t xml:space="preserve"> </w:t>
      </w:r>
      <w:r>
        <w:rPr>
          <w:lang w:val="en-US"/>
        </w:rPr>
        <w:t>Hz</w:t>
      </w:r>
      <w:r>
        <w:t>)</w:t>
      </w:r>
      <w:r>
        <w:t>, στην 11</w:t>
      </w:r>
      <w:r>
        <w:rPr>
          <w:vertAlign w:val="superscript"/>
        </w:rPr>
        <w:t>η</w:t>
      </w:r>
      <w:r>
        <w:t xml:space="preserve"> και 12</w:t>
      </w:r>
      <w:r>
        <w:rPr>
          <w:vertAlign w:val="superscript"/>
        </w:rPr>
        <w:t>η</w:t>
      </w:r>
      <w:r>
        <w:t xml:space="preserve"> ιδιοσυχνότητα (10020-10485 </w:t>
      </w:r>
      <w:r>
        <w:rPr>
          <w:lang w:val="en-US"/>
        </w:rPr>
        <w:t>Hz</w:t>
      </w:r>
      <w:r>
        <w:t>)</w:t>
      </w:r>
      <w:r>
        <w:t>, στη 13</w:t>
      </w:r>
      <w:r>
        <w:rPr>
          <w:vertAlign w:val="superscript"/>
        </w:rPr>
        <w:t>η</w:t>
      </w:r>
      <w:r>
        <w:t xml:space="preserve"> και 14</w:t>
      </w:r>
      <w:r>
        <w:rPr>
          <w:vertAlign w:val="superscript"/>
        </w:rPr>
        <w:t>η</w:t>
      </w:r>
      <w:r>
        <w:t xml:space="preserve"> ιδιοσυχνότητα (10700-13110</w:t>
      </w:r>
      <w:r>
        <w:t xml:space="preserve"> </w:t>
      </w:r>
      <w:r>
        <w:rPr>
          <w:lang w:val="en-US"/>
        </w:rPr>
        <w:t>Hz</w:t>
      </w:r>
      <w:r>
        <w:t>)</w:t>
      </w:r>
      <w:r>
        <w:t>, στη 14</w:t>
      </w:r>
      <w:r>
        <w:rPr>
          <w:vertAlign w:val="superscript"/>
        </w:rPr>
        <w:t>η</w:t>
      </w:r>
      <w:r>
        <w:t xml:space="preserve"> και 15</w:t>
      </w:r>
      <w:r>
        <w:rPr>
          <w:vertAlign w:val="superscript"/>
        </w:rPr>
        <w:t>η</w:t>
      </w:r>
      <w:r>
        <w:t xml:space="preserve"> ιδιοσυχνότητα (13340-13575 </w:t>
      </w:r>
      <w:r>
        <w:rPr>
          <w:lang w:val="en-US"/>
        </w:rPr>
        <w:t>Hz</w:t>
      </w:r>
      <w:r>
        <w:t xml:space="preserve">), </w:t>
      </w:r>
      <w:r>
        <w:t>στη 15</w:t>
      </w:r>
      <w:r>
        <w:rPr>
          <w:vertAlign w:val="superscript"/>
        </w:rPr>
        <w:t>η</w:t>
      </w:r>
      <w:r>
        <w:t xml:space="preserve"> και 16</w:t>
      </w:r>
      <w:r>
        <w:rPr>
          <w:vertAlign w:val="superscript"/>
        </w:rPr>
        <w:t>η</w:t>
      </w:r>
      <w:r>
        <w:t xml:space="preserve"> ιδιοσυχνότητα (13690-14526 </w:t>
      </w:r>
      <w:r>
        <w:rPr>
          <w:lang w:val="en-US"/>
        </w:rPr>
        <w:t>Hz</w:t>
      </w:r>
      <w:r>
        <w:t>)</w:t>
      </w:r>
      <w:r>
        <w:t>, τέλος, στη 17</w:t>
      </w:r>
      <w:r>
        <w:rPr>
          <w:vertAlign w:val="superscript"/>
        </w:rPr>
        <w:t>η</w:t>
      </w:r>
      <w:r>
        <w:t xml:space="preserve"> και 18</w:t>
      </w:r>
      <w:r>
        <w:rPr>
          <w:vertAlign w:val="superscript"/>
        </w:rPr>
        <w:t>η</w:t>
      </w:r>
      <w:r>
        <w:t xml:space="preserve"> ιδιοσυχνότητα (15000-15390 </w:t>
      </w:r>
      <w:r>
        <w:rPr>
          <w:lang w:val="en-US"/>
        </w:rPr>
        <w:t>Hz</w:t>
      </w:r>
      <w:r>
        <w:t>).</w:t>
      </w:r>
    </w:p>
    <w:p>
      <w:pPr>
        <w:pStyle w:val="style0"/>
        <w:rPr>
          <w:rFonts w:ascii="Calibri Light" w:cs="宋体" w:eastAsia="宋体" w:hAnsi="Calibri Light"/>
          <w:color w:val="1f3763"/>
          <w:sz w:val="24"/>
          <w:szCs w:val="24"/>
        </w:rPr>
      </w:pPr>
      <w:r>
        <w:br w:type="page"/>
      </w:r>
    </w:p>
    <w:bookmarkStart w:id="63" w:name="_Toc66524613"/>
    <w:bookmarkStart w:id="64" w:name="_Toc77270450"/>
    <w:p>
      <w:pPr>
        <w:pStyle w:val="style3"/>
        <w:rPr/>
      </w:pPr>
      <w:r>
        <w:t>ρ=10760</w:t>
      </w:r>
      <w:r>
        <w:rPr>
          <w:lang w:val="en-US"/>
        </w:rPr>
        <w:t>kg</w:t>
      </w:r>
      <w:r>
        <w:t>/</w:t>
      </w:r>
      <w:r>
        <w:rPr>
          <w:lang w:val="en-US"/>
        </w:rPr>
        <w:t>m</w:t>
      </w:r>
      <w:r>
        <w:rPr>
          <w:vertAlign w:val="superscript"/>
        </w:rPr>
        <w:t>3</w:t>
      </w:r>
      <w:bookmarkEnd w:id="63"/>
      <w:bookmarkEnd w:id="64"/>
    </w:p>
    <w:p>
      <w:pPr>
        <w:pStyle w:val="style3"/>
        <w:rPr/>
      </w:pPr>
    </w:p>
    <w:p>
      <w:pPr>
        <w:pStyle w:val="style0"/>
        <w:spacing w:before="240" w:lineRule="auto" w:line="360"/>
        <w:rPr/>
      </w:pPr>
      <w:r>
        <w:t>Το διάγραμμα που προκύπτει από την συγκεκριμένη επίλυση είναι:</w:t>
      </w:r>
    </w:p>
    <w:p>
      <w:pPr>
        <w:pStyle w:val="style0"/>
        <w:keepNext/>
        <w:spacing w:before="240" w:lineRule="auto" w:line="360"/>
        <w:jc w:val="center"/>
        <w:rPr/>
      </w:pPr>
      <w:r>
        <w:rPr>
          <w:noProof/>
        </w:rPr>
        <w:drawing>
          <wp:inline distL="0" distT="0" distB="0" distR="0">
            <wp:extent cx="5274310" cy="2503805"/>
            <wp:effectExtent l="0" t="0" r="2540" b="0"/>
            <wp:docPr id="1059" name="Εικόνα 5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2" name="Εικόνα 59"/>
                    <pic:cNvPicPr/>
                  </pic:nvPicPr>
                  <pic:blipFill>
                    <a:blip r:embed="rId34" cstate="print"/>
                    <a:srcRect l="0" t="0" r="0" b="0"/>
                    <a:stretch/>
                  </pic:blipFill>
                  <pic:spPr>
                    <a:xfrm rot="0">
                      <a:off x="0" y="0"/>
                      <a:ext cx="5274310" cy="2503805"/>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33</w:t>
      </w:r>
      <w:r>
        <w:rPr/>
        <w:fldChar w:fldCharType="end"/>
      </w:r>
      <w:r>
        <w:t xml:space="preserve"> </w:t>
      </w:r>
      <w:r>
        <w:t>Διάγραμμα απόκρισης δομής με ρ=</w:t>
      </w:r>
      <w:r>
        <w:t>107</w:t>
      </w:r>
      <w:r>
        <w:t xml:space="preserve">60 </w:t>
      </w:r>
      <w:r>
        <w:t>kg</w:t>
      </w:r>
      <w:r>
        <w:t>/m</w:t>
      </w:r>
      <w:r>
        <w:rPr>
          <w:vertAlign w:val="superscript"/>
        </w:rPr>
        <w:t>3</w:t>
      </w:r>
    </w:p>
    <w:p>
      <w:pPr>
        <w:pStyle w:val="style0"/>
        <w:spacing w:before="240" w:lineRule="auto" w:line="360"/>
        <w:rPr/>
      </w:pPr>
      <w:r>
        <w:t xml:space="preserve">Από το διάγραμμα προκύπτουν 7 ολικά </w:t>
      </w:r>
      <w:r>
        <w:rPr>
          <w:lang w:val="en-US"/>
        </w:rPr>
        <w:t>band</w:t>
      </w:r>
      <w:r>
        <w:t xml:space="preserve"> </w:t>
      </w:r>
      <w:r>
        <w:rPr>
          <w:lang w:val="en-US"/>
        </w:rPr>
        <w:t>gaps</w:t>
      </w:r>
      <w:r>
        <w:t>.</w:t>
      </w:r>
      <w:r>
        <w:t xml:space="preserve"> Ειδικότερα, ανάμεσα στην 4</w:t>
      </w:r>
      <w:r>
        <w:rPr>
          <w:vertAlign w:val="superscript"/>
        </w:rPr>
        <w:t>η</w:t>
      </w:r>
      <w:r>
        <w:t xml:space="preserve"> και 5</w:t>
      </w:r>
      <w:r>
        <w:rPr>
          <w:vertAlign w:val="superscript"/>
        </w:rPr>
        <w:t>η</w:t>
      </w:r>
      <w:r>
        <w:t xml:space="preserve"> ιδιοσυχνότητα (3010-3030</w:t>
      </w:r>
      <w:r>
        <w:t xml:space="preserve"> </w:t>
      </w:r>
      <w:r>
        <w:rPr>
          <w:lang w:val="en-US"/>
        </w:rPr>
        <w:t>Hz</w:t>
      </w:r>
      <w:r>
        <w:t xml:space="preserve">), </w:t>
      </w:r>
      <w:r>
        <w:t>στη 10</w:t>
      </w:r>
      <w:r>
        <w:rPr>
          <w:vertAlign w:val="superscript"/>
        </w:rPr>
        <w:t>η</w:t>
      </w:r>
      <w:r>
        <w:t xml:space="preserve"> και 11</w:t>
      </w:r>
      <w:r>
        <w:rPr>
          <w:vertAlign w:val="superscript"/>
        </w:rPr>
        <w:t>η</w:t>
      </w:r>
      <w:r>
        <w:t xml:space="preserve"> ιδιοσυχνότητα (9420-945</w:t>
      </w:r>
      <w:r>
        <w:t xml:space="preserve">6 </w:t>
      </w:r>
      <w:r>
        <w:rPr>
          <w:lang w:val="en-US"/>
        </w:rPr>
        <w:t>Hz</w:t>
      </w:r>
      <w:r>
        <w:t>),</w:t>
      </w:r>
      <w:r>
        <w:t xml:space="preserve"> στην 11</w:t>
      </w:r>
      <w:r>
        <w:rPr>
          <w:vertAlign w:val="superscript"/>
        </w:rPr>
        <w:t>η</w:t>
      </w:r>
      <w:r>
        <w:t xml:space="preserve"> και 12</w:t>
      </w:r>
      <w:r>
        <w:rPr>
          <w:vertAlign w:val="superscript"/>
        </w:rPr>
        <w:t>η</w:t>
      </w:r>
      <w:r>
        <w:t xml:space="preserve"> ιδιοσυχνότητα (10015-10479 </w:t>
      </w:r>
      <w:r>
        <w:rPr>
          <w:lang w:val="en-US"/>
        </w:rPr>
        <w:t>Hz</w:t>
      </w:r>
      <w:r>
        <w:t xml:space="preserve">), </w:t>
      </w:r>
      <w:r>
        <w:t>στη 13</w:t>
      </w:r>
      <w:r>
        <w:rPr>
          <w:vertAlign w:val="superscript"/>
        </w:rPr>
        <w:t>η</w:t>
      </w:r>
      <w:r>
        <w:t xml:space="preserve"> και 14</w:t>
      </w:r>
      <w:r>
        <w:rPr>
          <w:vertAlign w:val="superscript"/>
        </w:rPr>
        <w:t>η</w:t>
      </w:r>
      <w:r>
        <w:t xml:space="preserve"> ιδιοσυχνότητα (10693-13110 </w:t>
      </w:r>
      <w:r>
        <w:rPr>
          <w:lang w:val="en-US"/>
        </w:rPr>
        <w:t>Hz</w:t>
      </w:r>
      <w:r>
        <w:t>)</w:t>
      </w:r>
      <w:r>
        <w:t>, στη 14</w:t>
      </w:r>
      <w:r>
        <w:rPr>
          <w:vertAlign w:val="superscript"/>
        </w:rPr>
        <w:t>η</w:t>
      </w:r>
      <w:r>
        <w:t xml:space="preserve"> και 15</w:t>
      </w:r>
      <w:r>
        <w:rPr>
          <w:vertAlign w:val="superscript"/>
        </w:rPr>
        <w:t>η</w:t>
      </w:r>
      <w:r>
        <w:t xml:space="preserve"> ιδιοσυχνότητα (13340-13575 </w:t>
      </w:r>
      <w:r>
        <w:rPr>
          <w:lang w:val="en-US"/>
        </w:rPr>
        <w:t>Hz</w:t>
      </w:r>
      <w:r>
        <w:t xml:space="preserve">), </w:t>
      </w:r>
      <w:r>
        <w:t>στη 15</w:t>
      </w:r>
      <w:r>
        <w:rPr>
          <w:vertAlign w:val="superscript"/>
        </w:rPr>
        <w:t>η</w:t>
      </w:r>
      <w:r>
        <w:t xml:space="preserve"> και 16</w:t>
      </w:r>
      <w:r>
        <w:rPr>
          <w:vertAlign w:val="superscript"/>
        </w:rPr>
        <w:t>η</w:t>
      </w:r>
      <w:r>
        <w:t xml:space="preserve"> ιδιοσυχνότητα (13690-14526 </w:t>
      </w:r>
      <w:r>
        <w:rPr>
          <w:lang w:val="en-US"/>
        </w:rPr>
        <w:t>Hz</w:t>
      </w:r>
      <w:r>
        <w:t>)</w:t>
      </w:r>
      <w:r>
        <w:t>, τέλος, στη 17</w:t>
      </w:r>
      <w:r>
        <w:rPr>
          <w:vertAlign w:val="superscript"/>
        </w:rPr>
        <w:t>η</w:t>
      </w:r>
      <w:r>
        <w:t xml:space="preserve"> και 18</w:t>
      </w:r>
      <w:r>
        <w:rPr>
          <w:vertAlign w:val="superscript"/>
        </w:rPr>
        <w:t>η</w:t>
      </w:r>
      <w:r>
        <w:t xml:space="preserve"> ιδιοσυχνότητα (15000-15390 </w:t>
      </w:r>
      <w:r>
        <w:rPr>
          <w:lang w:val="en-US"/>
        </w:rPr>
        <w:t>Hz</w:t>
      </w:r>
      <w:r>
        <w:t>).</w:t>
      </w:r>
      <w:r>
        <w:br w:type="page"/>
      </w:r>
    </w:p>
    <w:bookmarkStart w:id="65" w:name="_Toc66524614"/>
    <w:bookmarkStart w:id="66" w:name="_Toc77270451"/>
    <w:p>
      <w:pPr>
        <w:pStyle w:val="style1"/>
        <w:rPr/>
      </w:pPr>
      <w:r>
        <w:t xml:space="preserve">Κεφάλαιο 7 – Προσομοίωση φόρτισης δομής </w:t>
      </w:r>
      <w:r>
        <w:t>10</w:t>
      </w:r>
      <w:r>
        <w:rPr>
          <w:lang w:val="en-US"/>
        </w:rPr>
        <w:t>x</w:t>
      </w:r>
      <w:r>
        <w:t>10</w:t>
      </w:r>
      <w:bookmarkEnd w:id="65"/>
      <w:bookmarkEnd w:id="66"/>
      <w:r>
        <w:t xml:space="preserve"> </w:t>
      </w:r>
    </w:p>
    <w:p>
      <w:pPr>
        <w:pStyle w:val="style0"/>
        <w:rPr/>
      </w:pPr>
    </w:p>
    <w:p>
      <w:pPr>
        <w:pStyle w:val="style0"/>
        <w:spacing w:before="240" w:lineRule="auto" w:line="360"/>
        <w:rPr/>
      </w:pPr>
      <w:r>
        <w:t xml:space="preserve">Στην συνέχεια, θα δημιουργηθεί ένα πλέγμα με ύψος 10 δομές και πλάτος 10 δομές, στο οποίο, θα ασκήσουμε μια φόρτιση από </w:t>
      </w:r>
      <w:r>
        <w:t>το ένα τοίχωμα (αριστερά)</w:t>
      </w:r>
      <w:r>
        <w:t xml:space="preserve"> και </w:t>
      </w:r>
      <w:r>
        <w:t>σε κάποια σημεία στο απέναντι τοίχωμα (</w:t>
      </w:r>
      <w:r>
        <w:t>δεξιά</w:t>
      </w:r>
      <w:r>
        <w:t>)</w:t>
      </w:r>
      <w:r>
        <w:t xml:space="preserve"> θα μετράμε το μέγεθος της εκτόπισης, ούτως ώστε να δούμε αν τα θεωρητικά αποτελέσματα που πήραμε για μια περιοδική δομή επαληθεύονται.</w:t>
      </w:r>
      <w:r>
        <w:t xml:space="preserve"> </w:t>
      </w:r>
    </w:p>
    <w:p>
      <w:pPr>
        <w:pStyle w:val="style0"/>
        <w:spacing w:before="240" w:lineRule="auto" w:line="360"/>
        <w:rPr/>
      </w:pPr>
      <w:r>
        <w:t>Αρχικά, το μοντέλο που χρησιμοποιούμε για τους υπολογισμούς είναι το εξής:</w:t>
      </w:r>
    </w:p>
    <w:p>
      <w:pPr>
        <w:pStyle w:val="style0"/>
        <w:keepNext/>
        <w:spacing w:before="240" w:lineRule="auto" w:line="360"/>
        <w:jc w:val="center"/>
        <w:rPr/>
      </w:pPr>
      <w:r>
        <w:rPr>
          <w:noProof/>
        </w:rPr>
        <w:drawing>
          <wp:inline distL="0" distT="0" distB="0" distR="0">
            <wp:extent cx="5274310" cy="3315335"/>
            <wp:effectExtent l="0" t="0" r="2540" b="0"/>
            <wp:docPr id="1060" name="Εικόνα 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3" name="Εικόνα 8"/>
                    <pic:cNvPicPr/>
                  </pic:nvPicPr>
                  <pic:blipFill>
                    <a:blip r:embed="rId35" cstate="print"/>
                    <a:srcRect l="0" t="0" r="0" b="0"/>
                    <a:stretch/>
                  </pic:blipFill>
                  <pic:spPr>
                    <a:xfrm rot="0">
                      <a:off x="0" y="0"/>
                      <a:ext cx="5274310" cy="3315335"/>
                    </a:xfrm>
                    <a:prstGeom prst="rect"/>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34</w:t>
      </w:r>
      <w:r>
        <w:rPr/>
        <w:fldChar w:fldCharType="end"/>
      </w:r>
      <w:r>
        <w:t xml:space="preserve"> Πλέγμα </w:t>
      </w:r>
      <w:r>
        <w:t>10</w:t>
      </w:r>
      <w:r>
        <w:rPr>
          <w:lang w:val="en-US"/>
        </w:rPr>
        <w:t>x</w:t>
      </w:r>
      <w:r>
        <w:t>10</w:t>
      </w:r>
    </w:p>
    <w:p>
      <w:pPr>
        <w:pStyle w:val="style0"/>
        <w:spacing w:before="240" w:lineRule="auto" w:line="360"/>
        <w:rPr/>
      </w:pPr>
      <w:r>
        <w:t>Με συνθήκες κύλισης όπως φαίνεται παρακάτω:</w:t>
      </w:r>
    </w:p>
    <w:p>
      <w:pPr>
        <w:pStyle w:val="style0"/>
        <w:keepNext/>
        <w:spacing w:before="240" w:lineRule="auto" w:line="360"/>
        <w:jc w:val="center"/>
        <w:rPr/>
      </w:pPr>
      <w:r>
        <w:rPr>
          <w:noProof/>
        </w:rPr>
        <w:drawing>
          <wp:inline distL="0" distT="0" distB="0" distR="0">
            <wp:extent cx="2286000" cy="1435608"/>
            <wp:effectExtent l="0" t="0" r="0" b="0"/>
            <wp:docPr id="1061" name="Εικόνα 1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4" name="Εικόνα 16"/>
                    <pic:cNvPicPr/>
                  </pic:nvPicPr>
                  <pic:blipFill>
                    <a:blip r:embed="rId36" cstate="print"/>
                    <a:srcRect l="0" t="0" r="0" b="0"/>
                    <a:stretch/>
                  </pic:blipFill>
                  <pic:spPr>
                    <a:xfrm rot="0">
                      <a:off x="0" y="0"/>
                      <a:ext cx="2286000" cy="1435608"/>
                    </a:xfrm>
                    <a:prstGeom prst="rect"/>
                    <a:ln>
                      <a:noFill/>
                    </a:ln>
                  </pic:spPr>
                </pic:pic>
              </a:graphicData>
            </a:graphic>
          </wp:inline>
        </w:drawing>
      </w:r>
      <w:r>
        <w:rPr>
          <w:noProof/>
        </w:rPr>
        <w:t xml:space="preserve"> </w:t>
      </w:r>
      <w:r>
        <w:rPr>
          <w:noProof/>
        </w:rPr>
        <w:drawing>
          <wp:inline distL="0" distT="0" distB="0" distR="0">
            <wp:extent cx="2295144" cy="1444752"/>
            <wp:effectExtent l="0" t="0" r="0" b="3175"/>
            <wp:docPr id="1062" name="Εικόνα 3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5" name="Εικόνα 33"/>
                    <pic:cNvPicPr/>
                  </pic:nvPicPr>
                  <pic:blipFill>
                    <a:blip r:embed="rId37" cstate="print"/>
                    <a:srcRect l="0" t="0" r="0" b="0"/>
                    <a:stretch/>
                  </pic:blipFill>
                  <pic:spPr>
                    <a:xfrm rot="0">
                      <a:off x="0" y="0"/>
                      <a:ext cx="2295144" cy="1444752"/>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35</w:t>
      </w:r>
      <w:r>
        <w:rPr/>
        <w:fldChar w:fldCharType="end"/>
      </w:r>
      <w:r>
        <w:t xml:space="preserve"> </w:t>
      </w:r>
      <w:r>
        <w:t>Συνθήκες κύλισης πλέγματος</w:t>
      </w:r>
    </w:p>
    <w:p>
      <w:pPr>
        <w:pStyle w:val="style0"/>
        <w:spacing w:before="240" w:lineRule="auto" w:line="360"/>
        <w:jc w:val="center"/>
        <w:rPr/>
      </w:pPr>
    </w:p>
    <w:p>
      <w:pPr>
        <w:pStyle w:val="style0"/>
        <w:spacing w:before="240" w:lineRule="auto" w:line="360"/>
        <w:rPr/>
      </w:pPr>
      <w:r>
        <w:t>με οριακό φορτίο τάξης 10</w:t>
      </w:r>
      <w:r>
        <w:rPr>
          <w:lang w:val="en-US"/>
        </w:rPr>
        <w:t>MPa</w:t>
      </w:r>
      <w:r>
        <w:t xml:space="preserve"> με τον προσανατολισμό που φαίνεται στο σχήμα:</w:t>
      </w:r>
    </w:p>
    <w:p>
      <w:pPr>
        <w:pStyle w:val="style0"/>
        <w:keepNext/>
        <w:spacing w:before="240" w:lineRule="auto" w:line="360"/>
        <w:jc w:val="center"/>
        <w:rPr/>
      </w:pPr>
      <w:r>
        <w:rPr>
          <w:noProof/>
        </w:rPr>
        <w:drawing>
          <wp:inline distL="0" distT="0" distB="0" distR="0">
            <wp:extent cx="2734056" cy="1719072"/>
            <wp:effectExtent l="0" t="0" r="9525" b="0"/>
            <wp:docPr id="1063" name="Εικόνα 3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Εικόνα 34"/>
                    <pic:cNvPicPr/>
                  </pic:nvPicPr>
                  <pic:blipFill>
                    <a:blip r:embed="rId38" cstate="print"/>
                    <a:srcRect l="0" t="0" r="0" b="0"/>
                    <a:stretch/>
                  </pic:blipFill>
                  <pic:spPr>
                    <a:xfrm rot="0">
                      <a:off x="0" y="0"/>
                      <a:ext cx="2734056" cy="1719072"/>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36</w:t>
      </w:r>
      <w:r>
        <w:rPr/>
        <w:fldChar w:fldCharType="end"/>
      </w:r>
      <w:r>
        <w:t xml:space="preserve"> Φορά άσκησης πίεσης</w:t>
      </w:r>
    </w:p>
    <w:p>
      <w:pPr>
        <w:pStyle w:val="style0"/>
        <w:spacing w:before="240" w:lineRule="auto" w:line="360"/>
        <w:rPr/>
      </w:pPr>
      <w:r>
        <w:t>Τέλος, ο τοίχος στο παρακάτω σχήμα είναι ο σταθερός περιορισμός, πάνω στον οποίο γίνεται η θλίψη του προηγούμενου:</w:t>
      </w:r>
    </w:p>
    <w:p>
      <w:pPr>
        <w:pStyle w:val="style0"/>
        <w:keepNext/>
        <w:spacing w:before="240" w:lineRule="auto" w:line="360"/>
        <w:jc w:val="center"/>
        <w:rPr/>
      </w:pPr>
      <w:r>
        <w:rPr>
          <w:noProof/>
        </w:rPr>
        <w:drawing>
          <wp:inline distL="0" distT="0" distB="0" distR="0">
            <wp:extent cx="2743200" cy="1728216"/>
            <wp:effectExtent l="0" t="0" r="0" b="5715"/>
            <wp:docPr id="1064" name="Εικόνα 3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Εικόνα 35"/>
                    <pic:cNvPicPr/>
                  </pic:nvPicPr>
                  <pic:blipFill>
                    <a:blip r:embed="rId39" cstate="print"/>
                    <a:srcRect l="0" t="0" r="0" b="0"/>
                    <a:stretch/>
                  </pic:blipFill>
                  <pic:spPr>
                    <a:xfrm rot="0">
                      <a:off x="0" y="0"/>
                      <a:ext cx="2743200" cy="1728216"/>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37</w:t>
      </w:r>
      <w:r>
        <w:rPr/>
        <w:fldChar w:fldCharType="end"/>
      </w:r>
      <w:r>
        <w:t xml:space="preserve"> Σταθερό στοιχείο</w:t>
      </w:r>
    </w:p>
    <w:p>
      <w:pPr>
        <w:pStyle w:val="style0"/>
        <w:spacing w:before="240" w:lineRule="auto" w:line="360"/>
        <w:rPr/>
      </w:pPr>
      <w:r>
        <w:t xml:space="preserve">Οι 2 τοίχοι στα άκρα είναι από το ίδιο υλικό με τον σκελετό της δομής, οπότε έχουν και τις ίδιες ιδιότητες, </w:t>
      </w:r>
      <w:r>
        <w:t>όπως</w:t>
      </w:r>
      <w:r>
        <w:t xml:space="preserve"> φαίνονται στον παρακάτω πίνακα</w:t>
      </w:r>
      <w:r>
        <w:t>:</w:t>
      </w:r>
    </w:p>
    <w:tbl>
      <w:tblPr>
        <w:tblStyle w:val="style154"/>
        <w:tblW w:w="8720" w:type="dxa"/>
        <w:tblLook w:val="04A0" w:firstRow="1" w:lastRow="0" w:firstColumn="1" w:lastColumn="0" w:noHBand="0" w:noVBand="1"/>
      </w:tblPr>
      <w:tblGrid>
        <w:gridCol w:w="2180"/>
        <w:gridCol w:w="2180"/>
        <w:gridCol w:w="2180"/>
        <w:gridCol w:w="2180"/>
      </w:tblGrid>
      <w:tr>
        <w:trPr>
          <w:trHeight w:val="1047" w:hRule="atLeast"/>
        </w:trPr>
        <w:tc>
          <w:tcPr>
            <w:tcW w:w="2180" w:type="dxa"/>
            <w:tcBorders/>
          </w:tcPr>
          <w:p>
            <w:pPr>
              <w:pStyle w:val="style0"/>
              <w:jc w:val="center"/>
              <w:rPr>
                <w:b/>
                <w:bCs/>
                <w:sz w:val="26"/>
                <w:szCs w:val="26"/>
              </w:rPr>
            </w:pPr>
            <w:r>
              <w:rPr>
                <w:b/>
                <w:bCs/>
                <w:sz w:val="26"/>
                <w:szCs w:val="26"/>
              </w:rPr>
              <w:t>Υλικά</w:t>
            </w:r>
          </w:p>
        </w:tc>
        <w:tc>
          <w:tcPr>
            <w:tcW w:w="2180" w:type="dxa"/>
            <w:tcBorders/>
          </w:tcPr>
          <w:p>
            <w:pPr>
              <w:pStyle w:val="style0"/>
              <w:jc w:val="center"/>
              <w:rPr>
                <w:b/>
                <w:bCs/>
                <w:sz w:val="26"/>
                <w:szCs w:val="26"/>
                <w:lang w:val="en-US"/>
              </w:rPr>
            </w:pPr>
            <w:r>
              <w:rPr>
                <w:b/>
                <w:bCs/>
                <w:sz w:val="26"/>
                <w:szCs w:val="26"/>
              </w:rPr>
              <w:t>Πυκνότητα (</w:t>
            </w:r>
            <w:r>
              <w:rPr>
                <w:b/>
                <w:bCs/>
                <w:sz w:val="26"/>
                <w:szCs w:val="26"/>
                <w:lang w:val="en-US"/>
              </w:rPr>
              <w:t>density)</w:t>
            </w:r>
          </w:p>
        </w:tc>
        <w:tc>
          <w:tcPr>
            <w:tcW w:w="2180" w:type="dxa"/>
            <w:tcBorders/>
          </w:tcPr>
          <w:p>
            <w:pPr>
              <w:pStyle w:val="style0"/>
              <w:jc w:val="center"/>
              <w:rPr>
                <w:b/>
                <w:bCs/>
                <w:sz w:val="26"/>
                <w:szCs w:val="26"/>
                <w:lang w:val="en-US"/>
              </w:rPr>
            </w:pPr>
            <w:r>
              <w:rPr>
                <w:b/>
                <w:bCs/>
                <w:sz w:val="26"/>
                <w:szCs w:val="26"/>
              </w:rPr>
              <w:t xml:space="preserve">Λόγος </w:t>
            </w:r>
            <w:r>
              <w:rPr>
                <w:b/>
                <w:bCs/>
                <w:sz w:val="26"/>
                <w:szCs w:val="26"/>
                <w:lang w:val="en-US"/>
              </w:rPr>
              <w:t>Poisson</w:t>
            </w:r>
          </w:p>
        </w:tc>
        <w:tc>
          <w:tcPr>
            <w:tcW w:w="2180" w:type="dxa"/>
            <w:tcBorders/>
          </w:tcPr>
          <w:p>
            <w:pPr>
              <w:pStyle w:val="style0"/>
              <w:jc w:val="center"/>
              <w:rPr>
                <w:b/>
                <w:bCs/>
                <w:sz w:val="26"/>
                <w:szCs w:val="26"/>
                <w:lang w:val="en-US"/>
              </w:rPr>
            </w:pPr>
            <w:r>
              <w:rPr>
                <w:b/>
                <w:bCs/>
                <w:sz w:val="26"/>
                <w:szCs w:val="26"/>
              </w:rPr>
              <w:t>Μέτρο ελαστικότητας (</w:t>
            </w:r>
            <w:r>
              <w:rPr>
                <w:b/>
                <w:bCs/>
                <w:sz w:val="26"/>
                <w:szCs w:val="26"/>
                <w:lang w:val="en-US"/>
              </w:rPr>
              <w:t>Young’s Modulus)</w:t>
            </w:r>
          </w:p>
        </w:tc>
      </w:tr>
      <w:tr>
        <w:tblPrEx/>
        <w:trPr>
          <w:trHeight w:val="270" w:hRule="atLeast"/>
        </w:trPr>
        <w:tc>
          <w:tcPr>
            <w:tcW w:w="2180" w:type="dxa"/>
            <w:tcBorders/>
          </w:tcPr>
          <w:p>
            <w:pPr>
              <w:pStyle w:val="style0"/>
              <w:jc w:val="center"/>
              <w:rPr>
                <w:lang w:val="en-US"/>
              </w:rPr>
            </w:pPr>
            <w:r>
              <w:rPr>
                <w:lang w:val="en-US"/>
              </w:rPr>
              <w:t>Copper</w:t>
            </w:r>
          </w:p>
        </w:tc>
        <w:tc>
          <w:tcPr>
            <w:tcW w:w="2180" w:type="dxa"/>
            <w:tcBorders/>
          </w:tcPr>
          <w:p>
            <w:pPr>
              <w:pStyle w:val="style0"/>
              <w:jc w:val="center"/>
              <w:rPr>
                <w:lang w:val="en-US"/>
              </w:rPr>
            </w:pPr>
            <w:r>
              <w:rPr>
                <w:lang w:val="en-US"/>
              </w:rPr>
              <w:t>8960 kg/m</w:t>
            </w:r>
            <w:r>
              <w:rPr>
                <w:vertAlign w:val="superscript"/>
                <w:lang w:val="en-US"/>
              </w:rPr>
              <w:t>3</w:t>
            </w:r>
          </w:p>
        </w:tc>
        <w:tc>
          <w:tcPr>
            <w:tcW w:w="2180" w:type="dxa"/>
            <w:tcBorders/>
          </w:tcPr>
          <w:p>
            <w:pPr>
              <w:pStyle w:val="style0"/>
              <w:jc w:val="center"/>
              <w:rPr>
                <w:lang w:val="en-US"/>
              </w:rPr>
            </w:pPr>
            <w:r>
              <w:rPr>
                <w:lang w:val="en-US"/>
              </w:rPr>
              <w:t>0.35</w:t>
            </w:r>
          </w:p>
        </w:tc>
        <w:tc>
          <w:tcPr>
            <w:tcW w:w="2180" w:type="dxa"/>
            <w:tcBorders/>
          </w:tcPr>
          <w:p>
            <w:pPr>
              <w:pStyle w:val="style0"/>
              <w:jc w:val="center"/>
              <w:rPr>
                <w:lang w:val="en-US"/>
              </w:rPr>
            </w:pPr>
            <w:r>
              <w:rPr>
                <w:lang w:val="en-US"/>
              </w:rPr>
              <w:t xml:space="preserve">110 </w:t>
            </w:r>
            <w:r>
              <w:rPr>
                <w:lang w:val="en-US"/>
              </w:rPr>
              <w:t>GPa</w:t>
            </w:r>
          </w:p>
        </w:tc>
      </w:tr>
      <w:tr>
        <w:tblPrEx/>
        <w:trPr>
          <w:trHeight w:val="258" w:hRule="atLeast"/>
        </w:trPr>
        <w:tc>
          <w:tcPr>
            <w:tcW w:w="2180" w:type="dxa"/>
            <w:tcBorders/>
          </w:tcPr>
          <w:p>
            <w:pPr>
              <w:pStyle w:val="style0"/>
              <w:jc w:val="center"/>
              <w:rPr>
                <w:lang w:val="en-US"/>
              </w:rPr>
            </w:pPr>
            <w:r>
              <w:rPr>
                <w:lang w:val="en-US"/>
              </w:rPr>
              <w:t>Tungsten</w:t>
            </w:r>
          </w:p>
        </w:tc>
        <w:tc>
          <w:tcPr>
            <w:tcW w:w="2180" w:type="dxa"/>
            <w:tcBorders/>
          </w:tcPr>
          <w:p>
            <w:pPr>
              <w:pStyle w:val="style0"/>
              <w:jc w:val="center"/>
              <w:rPr>
                <w:lang w:val="en-US"/>
              </w:rPr>
            </w:pPr>
            <w:r>
              <w:rPr>
                <w:lang w:val="en-US"/>
              </w:rPr>
              <w:t>17800 kg/m</w:t>
            </w:r>
            <w:r>
              <w:rPr>
                <w:vertAlign w:val="superscript"/>
                <w:lang w:val="en-US"/>
              </w:rPr>
              <w:t>3</w:t>
            </w:r>
          </w:p>
        </w:tc>
        <w:tc>
          <w:tcPr>
            <w:tcW w:w="2180" w:type="dxa"/>
            <w:tcBorders/>
          </w:tcPr>
          <w:p>
            <w:pPr>
              <w:pStyle w:val="style0"/>
              <w:jc w:val="center"/>
              <w:rPr>
                <w:lang w:val="en-US"/>
              </w:rPr>
            </w:pPr>
            <w:r>
              <w:rPr>
                <w:lang w:val="en-US"/>
              </w:rPr>
              <w:t>0.28</w:t>
            </w:r>
          </w:p>
        </w:tc>
        <w:tc>
          <w:tcPr>
            <w:tcW w:w="2180" w:type="dxa"/>
            <w:tcBorders/>
          </w:tcPr>
          <w:p>
            <w:pPr>
              <w:pStyle w:val="style0"/>
              <w:jc w:val="center"/>
              <w:rPr>
                <w:lang w:val="en-US"/>
              </w:rPr>
            </w:pPr>
            <w:r>
              <w:rPr>
                <w:lang w:val="en-US"/>
              </w:rPr>
              <w:t xml:space="preserve">3600 </w:t>
            </w:r>
            <w:r>
              <w:rPr>
                <w:lang w:val="en-US"/>
              </w:rPr>
              <w:t>GPa</w:t>
            </w:r>
          </w:p>
        </w:tc>
      </w:tr>
      <w:tr>
        <w:tblPrEx/>
        <w:trPr>
          <w:trHeight w:val="788" w:hRule="atLeast"/>
        </w:trPr>
        <w:tc>
          <w:tcPr>
            <w:tcW w:w="2180" w:type="dxa"/>
            <w:tcBorders/>
          </w:tcPr>
          <w:p>
            <w:pPr>
              <w:pStyle w:val="style0"/>
              <w:jc w:val="center"/>
              <w:rPr>
                <w:lang w:val="en-US"/>
              </w:rPr>
            </w:pPr>
            <w:r>
              <w:t>Υλικό επένδυσης (</w:t>
            </w:r>
            <w:r>
              <w:rPr>
                <w:lang w:val="en-US"/>
              </w:rPr>
              <w:t>Material 1)</w:t>
            </w:r>
          </w:p>
        </w:tc>
        <w:tc>
          <w:tcPr>
            <w:tcW w:w="2180" w:type="dxa"/>
            <w:tcBorders/>
          </w:tcPr>
          <w:p>
            <w:pPr>
              <w:pStyle w:val="style0"/>
              <w:jc w:val="center"/>
              <w:rPr>
                <w:vertAlign w:val="superscript"/>
                <w:lang w:val="en-US"/>
              </w:rPr>
            </w:pPr>
            <w:r>
              <w:rPr>
                <w:lang w:val="en-US"/>
              </w:rPr>
              <w:t>500 kg/m</w:t>
            </w:r>
            <w:r>
              <w:rPr>
                <w:vertAlign w:val="superscript"/>
                <w:lang w:val="en-US"/>
              </w:rPr>
              <w:t>3</w:t>
            </w:r>
          </w:p>
        </w:tc>
        <w:tc>
          <w:tcPr>
            <w:tcW w:w="2180" w:type="dxa"/>
            <w:tcBorders/>
          </w:tcPr>
          <w:p>
            <w:pPr>
              <w:pStyle w:val="style0"/>
              <w:jc w:val="center"/>
              <w:rPr>
                <w:lang w:val="en-US"/>
              </w:rPr>
            </w:pPr>
            <w:r>
              <w:rPr>
                <w:lang w:val="en-US"/>
              </w:rPr>
              <w:t>0.47</w:t>
            </w:r>
          </w:p>
        </w:tc>
        <w:tc>
          <w:tcPr>
            <w:tcW w:w="2180" w:type="dxa"/>
            <w:tcBorders/>
          </w:tcPr>
          <w:p>
            <w:pPr>
              <w:pStyle w:val="style0"/>
              <w:jc w:val="center"/>
              <w:rPr>
                <w:lang w:val="en-US"/>
              </w:rPr>
            </w:pPr>
            <w:r>
              <w:rPr>
                <w:lang w:val="en-US"/>
              </w:rPr>
              <w:t>5 MPa</w:t>
            </w:r>
          </w:p>
        </w:tc>
      </w:tr>
    </w:tbl>
    <w:p>
      <w:pPr>
        <w:pStyle w:val="style0"/>
        <w:rPr/>
      </w:pPr>
    </w:p>
    <w:p>
      <w:pPr>
        <w:pStyle w:val="style0"/>
        <w:rPr/>
      </w:pPr>
      <w:r>
        <w:t xml:space="preserve">Ο έλεγχος θα γίνει στο εύρος των συχνοτήτων 1—16000 </w:t>
      </w:r>
      <w:r>
        <w:rPr>
          <w:lang w:val="en-US"/>
        </w:rPr>
        <w:t>Hz</w:t>
      </w:r>
      <w:r>
        <w:t xml:space="preserve"> </w:t>
      </w:r>
      <w:r>
        <w:t xml:space="preserve">με βήμα 25 </w:t>
      </w:r>
      <w:r>
        <w:rPr>
          <w:lang w:val="en-US"/>
        </w:rPr>
        <w:t>Hz</w:t>
      </w:r>
      <w:r>
        <w:t>.</w:t>
      </w:r>
      <w:r>
        <w:t xml:space="preserve"> </w:t>
      </w:r>
      <w:r>
        <w:t xml:space="preserve">Στην συνέχεια </w:t>
      </w:r>
      <w:r>
        <w:t>οι</w:t>
      </w:r>
      <w:r>
        <w:t xml:space="preserve"> ιδιότητες της δομής:</w:t>
      </w:r>
    </w:p>
    <w:p>
      <w:pPr>
        <w:pStyle w:val="style179"/>
        <w:numPr>
          <w:ilvl w:val="0"/>
          <w:numId w:val="2"/>
        </w:numPr>
        <w:rPr/>
      </w:pPr>
      <w:r>
        <w:t xml:space="preserve">Ακτίνα σκελετού </w:t>
      </w:r>
      <w:r>
        <w:rPr>
          <w:lang w:val="en-US"/>
        </w:rPr>
        <w:t>r=0.005 m</w:t>
      </w:r>
    </w:p>
    <w:p>
      <w:pPr>
        <w:pStyle w:val="style179"/>
        <w:numPr>
          <w:ilvl w:val="0"/>
          <w:numId w:val="2"/>
        </w:numPr>
        <w:rPr/>
      </w:pPr>
      <w:r>
        <w:t xml:space="preserve">ακτίνα πυρήνα </w:t>
      </w:r>
      <w:r>
        <w:rPr>
          <w:lang w:val="en-US"/>
        </w:rPr>
        <w:t>r</w:t>
      </w:r>
      <w:r>
        <w:rPr>
          <w:vertAlign w:val="subscript"/>
          <w:lang w:val="en-US"/>
        </w:rPr>
        <w:t>c</w:t>
      </w:r>
      <w:r>
        <w:rPr>
          <w:lang w:val="en-US"/>
        </w:rPr>
        <w:t>=r/4</w:t>
      </w:r>
    </w:p>
    <w:p>
      <w:pPr>
        <w:pStyle w:val="style179"/>
        <w:numPr>
          <w:ilvl w:val="0"/>
          <w:numId w:val="2"/>
        </w:numPr>
        <w:rPr/>
      </w:pPr>
      <w:r>
        <w:t xml:space="preserve">πλάτος κελιού </w:t>
      </w:r>
      <w:r>
        <w:rPr>
          <w:lang w:val="en-US"/>
        </w:rPr>
        <w:t>L1=0.</w:t>
      </w:r>
      <w:r>
        <w:t>02693</w:t>
      </w:r>
      <w:r>
        <w:rPr>
          <w:lang w:val="en-US"/>
        </w:rPr>
        <w:t xml:space="preserve"> m</w:t>
      </w:r>
    </w:p>
    <w:p>
      <w:pPr>
        <w:pStyle w:val="style179"/>
        <w:numPr>
          <w:ilvl w:val="0"/>
          <w:numId w:val="2"/>
        </w:numPr>
        <w:rPr/>
      </w:pPr>
      <w:r>
        <w:t>μήκος άρθρωσης</w:t>
      </w:r>
      <w:r>
        <w:t xml:space="preserve"> </w:t>
      </w:r>
      <w:r>
        <w:t xml:space="preserve">σύνδεσης από τον ένα σκελετό στον επόμενο </w:t>
      </w:r>
      <w:r>
        <w:rPr>
          <w:lang w:val="en-US"/>
        </w:rPr>
        <w:t>l</w:t>
      </w:r>
      <w:r>
        <w:t>=0.0</w:t>
      </w:r>
      <w:r>
        <w:t>25</w:t>
      </w:r>
      <w:r>
        <w:t xml:space="preserve"> </w:t>
      </w:r>
      <w:r>
        <w:rPr>
          <w:lang w:val="en-US"/>
        </w:rPr>
        <w:t>m</w:t>
      </w:r>
      <w:r>
        <w:t xml:space="preserve">, οπότε μήκος άρθρωσης κάθε κελιού </w:t>
      </w:r>
      <w:r>
        <w:rPr>
          <w:lang w:val="en-US"/>
        </w:rPr>
        <w:t>L</w:t>
      </w:r>
      <w:r>
        <w:t>=</w:t>
      </w:r>
      <w:r>
        <w:rPr>
          <w:lang w:val="en-US"/>
        </w:rPr>
        <w:t>l</w:t>
      </w:r>
      <w:r>
        <w:t>/2</w:t>
      </w:r>
      <w:r>
        <w:t>=0.025</w:t>
      </w:r>
      <w:r>
        <w:rPr>
          <w:lang w:val="en-US"/>
        </w:rPr>
        <w:t>m</w:t>
      </w:r>
    </w:p>
    <w:p>
      <w:pPr>
        <w:pStyle w:val="style179"/>
        <w:numPr>
          <w:ilvl w:val="0"/>
          <w:numId w:val="2"/>
        </w:numPr>
        <w:rPr/>
      </w:pPr>
      <w:r>
        <w:t xml:space="preserve">πάχος άρθρωσης </w:t>
      </w:r>
      <w:r>
        <w:rPr>
          <w:lang w:val="en-US"/>
        </w:rPr>
        <w:t>t=0.00035 m</w:t>
      </w:r>
    </w:p>
    <w:p>
      <w:pPr>
        <w:pStyle w:val="style179"/>
        <w:numPr>
          <w:ilvl w:val="0"/>
          <w:numId w:val="2"/>
        </w:numPr>
        <w:rPr/>
      </w:pPr>
      <w:r>
        <w:t xml:space="preserve">πάχος άρθρωσης στον άξονα </w:t>
      </w:r>
      <w:r>
        <w:rPr>
          <w:lang w:val="en-US"/>
        </w:rPr>
        <w:t>z</w:t>
      </w:r>
      <w:r>
        <w:t xml:space="preserve"> </w:t>
      </w:r>
      <w:r>
        <w:rPr>
          <w:lang w:val="en-US"/>
        </w:rPr>
        <w:t>b</w:t>
      </w:r>
      <w:r>
        <w:t xml:space="preserve">=0.005 </w:t>
      </w:r>
      <w:r>
        <w:rPr>
          <w:lang w:val="en-US"/>
        </w:rPr>
        <w:t>m</w:t>
      </w:r>
    </w:p>
    <w:p>
      <w:pPr>
        <w:pStyle w:val="style0"/>
        <w:spacing w:before="240" w:lineRule="auto" w:line="360"/>
        <w:rPr/>
      </w:pPr>
      <w:r>
        <w:t>Κα</w:t>
      </w:r>
      <w:r>
        <w:t>τ</w:t>
      </w:r>
      <w:r>
        <w:t>όπιν</w:t>
      </w:r>
      <w:r>
        <w:t>, έγινε επιλογή 3 στοιχείων στην δεξιά σύνδεση της δομής με τον τοίχο και δημιουργήθηκαν τα εξής διαγράμματα εκτόπισης</w:t>
      </w:r>
      <w:r>
        <w:t xml:space="preserve"> </w:t>
      </w:r>
      <w:r>
        <w:t>-</w:t>
      </w:r>
      <w:r>
        <w:t xml:space="preserve"> </w:t>
      </w:r>
      <w:r>
        <w:t>συχνότητας:</w:t>
      </w:r>
    </w:p>
    <w:p>
      <w:pPr>
        <w:pStyle w:val="style0"/>
        <w:keepNext/>
        <w:spacing w:before="240" w:lineRule="auto" w:line="360"/>
        <w:jc w:val="center"/>
        <w:rPr>
          <w:lang w:val="en-US"/>
        </w:rPr>
      </w:pPr>
      <w:r>
        <w:rPr>
          <w:noProof/>
        </w:rPr>
        <w:drawing>
          <wp:inline distL="0" distT="0" distB="0" distR="0">
            <wp:extent cx="5274310" cy="3315335"/>
            <wp:effectExtent l="0" t="0" r="2540" b="0"/>
            <wp:docPr id="1065" name="Εικόνα 4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8" name="Εικόνα 40"/>
                    <pic:cNvPicPr/>
                  </pic:nvPicPr>
                  <pic:blipFill>
                    <a:blip r:embed="rId40" cstate="print"/>
                    <a:srcRect l="0" t="0" r="0" b="0"/>
                    <a:stretch/>
                  </pic:blipFill>
                  <pic:spPr>
                    <a:xfrm rot="0">
                      <a:off x="0" y="0"/>
                      <a:ext cx="5274310" cy="3315335"/>
                    </a:xfrm>
                    <a:prstGeom prst="rect"/>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38</w:t>
      </w:r>
      <w:r>
        <w:rPr/>
        <w:fldChar w:fldCharType="end"/>
      </w:r>
      <w:r>
        <w:rPr>
          <w:noProof/>
        </w:rPr>
        <w:t>.</w:t>
      </w:r>
      <w:r>
        <w:t xml:space="preserve"> </w:t>
      </w:r>
      <w:r>
        <w:t>Διάγραμμα εκτόπισης-συχνότητας στοιχείου 1ης σειράς</w:t>
      </w:r>
    </w:p>
    <w:p>
      <w:pPr>
        <w:pStyle w:val="style0"/>
        <w:keepNext/>
        <w:spacing w:before="240" w:lineRule="auto" w:line="360"/>
        <w:jc w:val="center"/>
        <w:rPr/>
      </w:pPr>
      <w:r>
        <w:rPr>
          <w:noProof/>
        </w:rPr>
        <w:drawing>
          <wp:inline distL="0" distT="0" distB="0" distR="0">
            <wp:extent cx="5274310" cy="3315335"/>
            <wp:effectExtent l="0" t="0" r="2540" b="0"/>
            <wp:docPr id="1066" name="Εικόνα 3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9" name="Εικόνα 38"/>
                    <pic:cNvPicPr/>
                  </pic:nvPicPr>
                  <pic:blipFill>
                    <a:blip r:embed="rId41" cstate="print"/>
                    <a:srcRect l="0" t="0" r="0" b="0"/>
                    <a:stretch/>
                  </pic:blipFill>
                  <pic:spPr>
                    <a:xfrm rot="0">
                      <a:off x="0" y="0"/>
                      <a:ext cx="5274310" cy="3315335"/>
                    </a:xfrm>
                    <a:prstGeom prst="rect"/>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39</w:t>
      </w:r>
      <w:r>
        <w:rPr/>
        <w:fldChar w:fldCharType="end"/>
      </w:r>
      <w:r>
        <w:rPr>
          <w:noProof/>
        </w:rPr>
        <w:t>.</w:t>
      </w:r>
      <w:r>
        <w:t xml:space="preserve"> Διάγραμμα εκτόπισης-συχνότητας στοιχείου </w:t>
      </w:r>
      <w:r>
        <w:t>6</w:t>
      </w:r>
      <w:r>
        <w:t>ης σειράς</w:t>
      </w:r>
    </w:p>
    <w:p>
      <w:pPr>
        <w:pStyle w:val="style0"/>
        <w:keepNext/>
        <w:spacing w:before="240" w:lineRule="auto" w:line="360"/>
        <w:jc w:val="center"/>
        <w:rPr/>
      </w:pPr>
      <w:r>
        <w:rPr>
          <w:noProof/>
        </w:rPr>
        <w:drawing>
          <wp:inline distL="0" distT="0" distB="0" distR="0">
            <wp:extent cx="5274310" cy="3315335"/>
            <wp:effectExtent l="0" t="0" r="2540" b="0"/>
            <wp:docPr id="1067" name="Εικόνα 3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0" name="Εικόνα 39"/>
                    <pic:cNvPicPr/>
                  </pic:nvPicPr>
                  <pic:blipFill>
                    <a:blip r:embed="rId42" cstate="print"/>
                    <a:srcRect l="0" t="0" r="0" b="0"/>
                    <a:stretch/>
                  </pic:blipFill>
                  <pic:spPr>
                    <a:xfrm rot="0">
                      <a:off x="0" y="0"/>
                      <a:ext cx="5274310" cy="3315335"/>
                    </a:xfrm>
                    <a:prstGeom prst="rect"/>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40</w:t>
      </w:r>
      <w:r>
        <w:rPr/>
        <w:fldChar w:fldCharType="end"/>
      </w:r>
      <w:r>
        <w:rPr>
          <w:noProof/>
        </w:rPr>
        <w:t>.</w:t>
      </w:r>
      <w:r>
        <w:t xml:space="preserve"> Διάγραμμα εκτόπισης-συχνότητας στοιχείου 1</w:t>
      </w:r>
      <w:r>
        <w:t>0</w:t>
      </w:r>
      <w:r>
        <w:t>ης σειράς</w:t>
      </w:r>
    </w:p>
    <w:p>
      <w:pPr>
        <w:pStyle w:val="style0"/>
        <w:keepNext/>
        <w:spacing w:before="240" w:lineRule="auto" w:line="360"/>
        <w:jc w:val="center"/>
        <w:rPr/>
      </w:pPr>
      <w:r>
        <w:rPr>
          <w:noProof/>
        </w:rPr>
        <w:drawing>
          <wp:inline distL="0" distT="0" distB="0" distR="0">
            <wp:extent cx="5274310" cy="3315335"/>
            <wp:effectExtent l="0" t="0" r="2540" b="0"/>
            <wp:docPr id="1068" name="Εικόνα 4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1" name="Εικόνα 42"/>
                    <pic:cNvPicPr/>
                  </pic:nvPicPr>
                  <pic:blipFill>
                    <a:blip r:embed="rId43" cstate="print"/>
                    <a:srcRect l="0" t="0" r="0" b="0"/>
                    <a:stretch/>
                  </pic:blipFill>
                  <pic:spPr>
                    <a:xfrm rot="0">
                      <a:off x="0" y="0"/>
                      <a:ext cx="5274310" cy="3315335"/>
                    </a:xfrm>
                    <a:prstGeom prst="rect"/>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41</w:t>
      </w:r>
      <w:r>
        <w:rPr/>
        <w:fldChar w:fldCharType="end"/>
      </w:r>
      <w:r>
        <w:t xml:space="preserve">. </w:t>
      </w:r>
      <w:r>
        <w:t>Συνολικό</w:t>
      </w:r>
      <w:r>
        <w:t xml:space="preserve"> </w:t>
      </w:r>
      <w:r>
        <w:t>δ</w:t>
      </w:r>
      <w:r>
        <w:t>ιάγραμμα εκτόπισης-συχνότητας στοιχεί</w:t>
      </w:r>
      <w:r>
        <w:t>ων</w:t>
      </w:r>
    </w:p>
    <w:p>
      <w:pPr>
        <w:pStyle w:val="style0"/>
        <w:rPr/>
        <w:sectPr>
          <w:footerReference w:type="default" r:id="rId44"/>
          <w:pgSz w:w="11906" w:h="16838" w:orient="portrait"/>
          <w:pgMar w:top="1440" w:right="1800" w:bottom="1440" w:left="1800" w:header="720" w:footer="720" w:gutter="0"/>
          <w:pgNumType w:start="0"/>
          <w:cols w:space="720"/>
          <w:docGrid w:linePitch="360"/>
        </w:sectPr>
      </w:pPr>
      <w:r>
        <w:t>Τέλος, θα γίνει ένας γραφικός έλεγχος μεταξύ του διαγράμματος</w:t>
      </w:r>
      <w:r>
        <w:t xml:space="preserve"> </w:t>
      </w:r>
      <w:r>
        <w:t>συχνοτήτων</w:t>
      </w:r>
      <w:r>
        <w:t xml:space="preserve"> </w:t>
      </w:r>
      <w:r>
        <w:t>της περιοδικής δομής με τα ίδια γεωμετρικά χαρακτηριστικά</w:t>
      </w:r>
      <w:r>
        <w:t xml:space="preserve"> και του διαγράμματος εκτόπισης-συχνότητας του </w:t>
      </w:r>
      <w:r>
        <w:t>κελιού της 6</w:t>
      </w:r>
      <w:r>
        <w:rPr>
          <w:vertAlign w:val="superscript"/>
        </w:rPr>
        <w:t>ης</w:t>
      </w:r>
      <w:r>
        <w:t xml:space="preserve"> σειράς και 10</w:t>
      </w:r>
      <w:r>
        <w:rPr>
          <w:vertAlign w:val="superscript"/>
        </w:rPr>
        <w:t>ης</w:t>
      </w:r>
      <w:r>
        <w:t xml:space="preserve"> στήλης</w:t>
      </w:r>
      <w:r>
        <w:t>. Σε αυτό το διάγραμμα θέλουμε να δούμε αν οι</w:t>
      </w:r>
      <w:r>
        <w:t xml:space="preserve"> πειραματικές</w:t>
      </w:r>
      <w:r>
        <w:t xml:space="preserve"> συχνότητες</w:t>
      </w:r>
      <w:r>
        <w:t>,</w:t>
      </w:r>
      <w:r>
        <w:t xml:space="preserve"> όπου </w:t>
      </w:r>
      <w:r>
        <w:t>παρατηρείται</w:t>
      </w:r>
      <w:r>
        <w:t xml:space="preserve"> </w:t>
      </w:r>
      <w:r>
        <w:rPr>
          <w:lang w:val="en-US"/>
        </w:rPr>
        <w:t>Band</w:t>
      </w:r>
      <w:r>
        <w:t xml:space="preserve"> </w:t>
      </w:r>
      <w:r>
        <w:rPr>
          <w:lang w:val="en-US"/>
        </w:rPr>
        <w:t>gap</w:t>
      </w:r>
      <w:r>
        <w:t>,</w:t>
      </w:r>
      <w:r>
        <w:t xml:space="preserve"> αντιστοιχούν</w:t>
      </w:r>
      <w:r>
        <w:t xml:space="preserve"> στις συχνότητες όπου παρατηρήθηκε αδυναμία μεταφοράς κύματος</w:t>
      </w:r>
      <w:r>
        <w:t xml:space="preserve"> και</w:t>
      </w:r>
      <w:r>
        <w:t xml:space="preserve"> στα θεωρητικά αποτελέσματα της περιοδικής δομής κ</w:t>
      </w:r>
      <w:r>
        <w:t xml:space="preserve">αι έχουμε </w:t>
      </w:r>
      <w:r>
        <w:t>εκτόπιση κοντά στο μηδέν.</w:t>
      </w:r>
    </w:p>
    <w:p>
      <w:pPr>
        <w:pStyle w:val="style0"/>
        <w:keepNext/>
        <w:jc w:val="center"/>
        <w:rPr/>
      </w:pPr>
      <w:r>
        <w:rPr>
          <w:noProof/>
        </w:rPr>
        <w:drawing>
          <wp:inline distL="0" distT="0" distB="0" distR="0">
            <wp:extent cx="8374875" cy="2812473"/>
            <wp:effectExtent l="0" t="0" r="7620" b="6985"/>
            <wp:docPr id="1069" name="Εικόνα 6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2" name="Εικόνα 60"/>
                    <pic:cNvPicPr/>
                  </pic:nvPicPr>
                  <pic:blipFill>
                    <a:blip r:embed="rId45" cstate="print"/>
                    <a:srcRect l="0" t="0" r="0" b="0"/>
                    <a:stretch/>
                  </pic:blipFill>
                  <pic:spPr>
                    <a:xfrm rot="0">
                      <a:off x="0" y="0"/>
                      <a:ext cx="8374875" cy="2812473"/>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42</w:t>
      </w:r>
      <w:r>
        <w:rPr/>
        <w:fldChar w:fldCharType="end"/>
      </w:r>
      <w:r>
        <w:t xml:space="preserve"> Διάγραμμα μετατόπισης στοιχείου 6ης σειράς, 10ης στήλης και διάγραμμα απόκρισης περιοδικής δομής με κυκλικό έγκλεισμα</w:t>
      </w:r>
    </w:p>
    <w:p>
      <w:pPr>
        <w:pStyle w:val="style0"/>
        <w:rPr/>
      </w:pPr>
    </w:p>
    <w:p>
      <w:pPr>
        <w:pStyle w:val="style0"/>
        <w:rPr/>
        <w:sectPr>
          <w:pgSz w:w="16838" w:h="11906" w:orient="landscape" w:code="9"/>
          <w:pgMar w:top="1440" w:right="1800" w:bottom="1440" w:left="1800" w:header="720" w:footer="720" w:gutter="0"/>
          <w:cols w:space="720"/>
          <w:vAlign w:val="center"/>
          <w:docGrid w:linePitch="360"/>
        </w:sectPr>
      </w:pPr>
    </w:p>
    <w:p>
      <w:pPr>
        <w:pStyle w:val="style0"/>
        <w:rPr/>
      </w:pPr>
      <w:r>
        <w:t>Παρατηρ</w:t>
      </w:r>
      <w:r>
        <w:t>είται</w:t>
      </w:r>
      <w:r>
        <w:t>, από τα παραπάνω διαγράμματα,</w:t>
      </w:r>
      <w:r>
        <w:t xml:space="preserve"> πως στις συχνότητες που εμφανίζονται τα </w:t>
      </w:r>
      <w:r>
        <w:rPr>
          <w:lang w:val="en-US"/>
        </w:rPr>
        <w:t>Band</w:t>
      </w:r>
      <w:r>
        <w:t xml:space="preserve"> </w:t>
      </w:r>
      <w:r>
        <w:rPr>
          <w:lang w:val="en-US"/>
        </w:rPr>
        <w:t>gap</w:t>
      </w:r>
      <w:r>
        <w:t xml:space="preserve"> στις περιοδικές δομές αντιστοιχούν οι συχνότητες όπου δεν υπάρχει εκτόπιση στην πειραματική δομή. </w:t>
      </w:r>
      <w:r>
        <w:t>Το οποίο σημαίνει,</w:t>
      </w:r>
      <w:r>
        <w:t xml:space="preserve"> ότι τα αποτελέσματα επαληθεύονται.</w:t>
      </w:r>
    </w:p>
    <w:p>
      <w:pPr>
        <w:pStyle w:val="style0"/>
        <w:rPr/>
      </w:pPr>
      <w:r>
        <w:t>Ακολουθούν εικόνες από το υπό φόρτιση πλέγμα σε συχνότητες εντός</w:t>
      </w:r>
      <w:r>
        <w:t xml:space="preserve"> (11000 </w:t>
      </w:r>
      <w:r>
        <w:rPr>
          <w:lang w:val="en-US"/>
        </w:rPr>
        <w:t>Hz</w:t>
      </w:r>
      <w:r>
        <w:t>, 14000</w:t>
      </w:r>
      <w:r>
        <w:t xml:space="preserve"> </w:t>
      </w:r>
      <w:r>
        <w:rPr>
          <w:lang w:val="en-US"/>
        </w:rPr>
        <w:t>Hz</w:t>
      </w:r>
      <w:r>
        <w:t>)</w:t>
      </w:r>
      <w:r>
        <w:t xml:space="preserve"> και εκτός</w:t>
      </w:r>
      <w:r>
        <w:t xml:space="preserve"> (6500 </w:t>
      </w:r>
      <w:r>
        <w:rPr>
          <w:lang w:val="en-US"/>
        </w:rPr>
        <w:t>Hz</w:t>
      </w:r>
      <w:r>
        <w:t xml:space="preserve">, 14800 </w:t>
      </w:r>
      <w:r>
        <w:rPr>
          <w:lang w:val="en-US"/>
        </w:rPr>
        <w:t>Hz</w:t>
      </w:r>
      <w:r>
        <w:t>)</w:t>
      </w:r>
      <w:r>
        <w:t xml:space="preserve"> του </w:t>
      </w:r>
      <w:r>
        <w:rPr>
          <w:lang w:val="en-US"/>
        </w:rPr>
        <w:t>band</w:t>
      </w:r>
      <w:r>
        <w:t xml:space="preserve"> </w:t>
      </w:r>
      <w:r>
        <w:rPr>
          <w:lang w:val="en-US"/>
        </w:rPr>
        <w:t>gap</w:t>
      </w:r>
      <w:r>
        <w:t xml:space="preserve"> για να φανεί </w:t>
      </w:r>
      <w:r>
        <w:t>η ύπαρξη ή μη και ο τρόπος της μετάδοσης</w:t>
      </w:r>
      <w:r>
        <w:t>.</w:t>
      </w:r>
    </w:p>
    <w:p>
      <w:pPr>
        <w:pStyle w:val="style0"/>
        <w:rPr/>
      </w:pPr>
    </w:p>
    <w:p>
      <w:pPr>
        <w:pStyle w:val="style0"/>
        <w:keepNext/>
        <w:jc w:val="center"/>
        <w:rPr/>
      </w:pPr>
      <w:r>
        <w:rPr>
          <w:noProof/>
        </w:rPr>
        <w:drawing>
          <wp:inline distL="0" distT="0" distB="0" distR="0">
            <wp:extent cx="5274310" cy="6631940"/>
            <wp:effectExtent l="0" t="0" r="2540" b="0"/>
            <wp:docPr id="1070" name="Εικόνα 4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3" name="Εικόνα 46"/>
                    <pic:cNvPicPr/>
                  </pic:nvPicPr>
                  <pic:blipFill>
                    <a:blip r:embed="rId46" cstate="print"/>
                    <a:srcRect l="0" t="0" r="0" b="0"/>
                    <a:stretch/>
                  </pic:blipFill>
                  <pic:spPr>
                    <a:xfrm rot="0">
                      <a:off x="0" y="0"/>
                      <a:ext cx="5274310" cy="6631940"/>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43</w:t>
      </w:r>
      <w:r>
        <w:rPr/>
        <w:fldChar w:fldCharType="end"/>
      </w:r>
      <w:r>
        <w:rPr>
          <w:noProof/>
        </w:rPr>
        <w:t>.</w:t>
      </w:r>
      <w:r>
        <w:t xml:space="preserve"> </w:t>
      </w:r>
      <w:r>
        <w:t>Απόκριση πλέγματος στα 11000</w:t>
      </w:r>
      <w:r>
        <w:t xml:space="preserve"> </w:t>
      </w:r>
      <w:r>
        <w:rPr>
          <w:lang w:val="en-US"/>
        </w:rPr>
        <w:t>Hz</w:t>
      </w:r>
      <w:r>
        <w:t xml:space="preserve"> (</w:t>
      </w:r>
      <w:r>
        <w:t>πάνω φαίνεται η μετάδοση της φόρτιση, κάτω μετάδοση της εκτόπισης)</w:t>
      </w:r>
    </w:p>
    <w:p>
      <w:pPr>
        <w:pStyle w:val="style0"/>
        <w:keepNext/>
        <w:jc w:val="center"/>
        <w:rPr/>
      </w:pPr>
      <w:r>
        <w:rPr>
          <w:noProof/>
        </w:rPr>
        <w:drawing>
          <wp:inline distL="0" distT="0" distB="0" distR="0">
            <wp:extent cx="5274310" cy="6631940"/>
            <wp:effectExtent l="0" t="0" r="2540" b="0"/>
            <wp:docPr id="1071" name="Εικόνα 4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4" name="Εικόνα 47"/>
                    <pic:cNvPicPr/>
                  </pic:nvPicPr>
                  <pic:blipFill>
                    <a:blip r:embed="rId47" cstate="print"/>
                    <a:srcRect l="0" t="0" r="0" b="0"/>
                    <a:stretch/>
                  </pic:blipFill>
                  <pic:spPr>
                    <a:xfrm rot="0">
                      <a:off x="0" y="0"/>
                      <a:ext cx="5274310" cy="6631940"/>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44</w:t>
      </w:r>
      <w:r>
        <w:rPr/>
        <w:fldChar w:fldCharType="end"/>
      </w:r>
      <w:r>
        <w:rPr>
          <w:noProof/>
        </w:rPr>
        <w:t>.</w:t>
      </w:r>
      <w:r>
        <w:t xml:space="preserve"> Απόκριση πλέγματος στα 14000</w:t>
      </w:r>
      <w:r>
        <w:t xml:space="preserve"> </w:t>
      </w:r>
      <w:r>
        <w:rPr>
          <w:lang w:val="en-US"/>
        </w:rPr>
        <w:t>Hz</w:t>
      </w:r>
      <w:r>
        <w:t xml:space="preserve"> (</w:t>
      </w:r>
      <w:r>
        <w:t>πάνω φαίνεται η μετάδοση της φόρτιση, κάτω μετάδοση της εκτόπισης)</w:t>
      </w:r>
    </w:p>
    <w:p>
      <w:pPr>
        <w:pStyle w:val="style0"/>
        <w:keepNext/>
        <w:jc w:val="center"/>
        <w:rPr/>
      </w:pPr>
      <w:r>
        <w:rPr>
          <w:noProof/>
        </w:rPr>
        <w:drawing>
          <wp:inline distL="0" distT="0" distB="0" distR="0">
            <wp:extent cx="5273040" cy="6629400"/>
            <wp:effectExtent l="0" t="0" r="3810" b="0"/>
            <wp:docPr id="1072" name="Εικόνα 4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5" name="Εικόνα 48"/>
                    <pic:cNvPicPr/>
                  </pic:nvPicPr>
                  <pic:blipFill>
                    <a:blip r:embed="rId48" cstate="print"/>
                    <a:srcRect l="0" t="0" r="0" b="0"/>
                    <a:stretch/>
                  </pic:blipFill>
                  <pic:spPr>
                    <a:xfrm rot="0">
                      <a:off x="0" y="0"/>
                      <a:ext cx="5273040" cy="6629400"/>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45</w:t>
      </w:r>
      <w:r>
        <w:rPr/>
        <w:fldChar w:fldCharType="end"/>
      </w:r>
      <w:r>
        <w:rPr>
          <w:noProof/>
        </w:rPr>
        <w:t>.</w:t>
      </w:r>
      <w:r>
        <w:t xml:space="preserve"> </w:t>
      </w:r>
      <w:r>
        <w:t xml:space="preserve">Απόκριση πλέγματος στα </w:t>
      </w:r>
      <w:r>
        <w:t>65</w:t>
      </w:r>
      <w:r>
        <w:t xml:space="preserve">00 </w:t>
      </w:r>
      <w:r>
        <w:rPr>
          <w:lang w:val="en-US"/>
        </w:rPr>
        <w:t>H</w:t>
      </w:r>
      <w:r>
        <w:t>z (πάνω φαίνεται η μετάδοση της φόρτιση, κάτω μετάδοση της εκτόπισης)</w:t>
      </w:r>
    </w:p>
    <w:p>
      <w:pPr>
        <w:pStyle w:val="style0"/>
        <w:keepNext/>
        <w:jc w:val="center"/>
        <w:rPr/>
      </w:pPr>
      <w:r>
        <w:rPr>
          <w:noProof/>
        </w:rPr>
        <w:drawing>
          <wp:inline distL="0" distT="0" distB="0" distR="0">
            <wp:extent cx="5273040" cy="6629400"/>
            <wp:effectExtent l="0" t="0" r="3810" b="0"/>
            <wp:docPr id="1073" name="Εικόνα 4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6" name="Εικόνα 49"/>
                    <pic:cNvPicPr/>
                  </pic:nvPicPr>
                  <pic:blipFill>
                    <a:blip r:embed="rId49" cstate="print"/>
                    <a:srcRect l="0" t="0" r="0" b="0"/>
                    <a:stretch/>
                  </pic:blipFill>
                  <pic:spPr>
                    <a:xfrm rot="0">
                      <a:off x="0" y="0"/>
                      <a:ext cx="5273040" cy="6629400"/>
                    </a:xfrm>
                    <a:prstGeom prst="rect"/>
                    <a:ln>
                      <a:noFill/>
                    </a:ln>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46</w:t>
      </w:r>
      <w:r>
        <w:rPr/>
        <w:fldChar w:fldCharType="end"/>
      </w:r>
      <w:r>
        <w:rPr>
          <w:noProof/>
        </w:rPr>
        <w:t>.</w:t>
      </w:r>
      <w:r>
        <w:t xml:space="preserve"> </w:t>
      </w:r>
      <w:r>
        <w:t>Απόκριση πλέγματος στα 1</w:t>
      </w:r>
      <w:r>
        <w:t>48</w:t>
      </w:r>
      <w:r>
        <w:t xml:space="preserve">00 </w:t>
      </w:r>
      <w:r>
        <w:rPr>
          <w:lang w:val="en-US"/>
        </w:rPr>
        <w:t>Hz</w:t>
      </w:r>
      <w:r>
        <w:t xml:space="preserve"> (πάνω φαίνεται η μετάδοση της φόρτιση, κάτω μετάδοση της εκτόπισης)</w:t>
      </w:r>
    </w:p>
    <w:p>
      <w:pPr>
        <w:pStyle w:val="style0"/>
        <w:rPr/>
      </w:pPr>
      <w:r>
        <w:t>Παρατηρείται</w:t>
      </w:r>
      <w:r>
        <w:t xml:space="preserve"> και σχηματικά ότι στις συχνότητες 11000</w:t>
      </w:r>
      <w:r>
        <w:t xml:space="preserve"> </w:t>
      </w:r>
      <w:r>
        <w:rPr>
          <w:lang w:val="en-US"/>
        </w:rPr>
        <w:t>Hz</w:t>
      </w:r>
      <w:r>
        <w:t xml:space="preserve"> </w:t>
      </w:r>
      <w:r>
        <w:t>και 14000</w:t>
      </w:r>
      <w:r>
        <w:t xml:space="preserve"> </w:t>
      </w:r>
      <w:r>
        <w:rPr>
          <w:lang w:val="en-US"/>
        </w:rPr>
        <w:t>Hz</w:t>
      </w:r>
      <w:r>
        <w:t>, η μετάδοση της φόρτισης δεν φτάνει μέχρι την απέναντι μεριά, σε αντίθεση με τις 6500</w:t>
      </w:r>
      <w:r>
        <w:t xml:space="preserve"> </w:t>
      </w:r>
      <w:r>
        <w:rPr>
          <w:lang w:val="en-US"/>
        </w:rPr>
        <w:t>Hz</w:t>
      </w:r>
      <w:r>
        <w:t xml:space="preserve"> και 14800</w:t>
      </w:r>
      <w:r>
        <w:t xml:space="preserve"> </w:t>
      </w:r>
      <w:r>
        <w:rPr>
          <w:lang w:val="en-US"/>
        </w:rPr>
        <w:t>Hz</w:t>
      </w:r>
      <w:r>
        <w:t>.</w:t>
      </w:r>
    </w:p>
    <w:p>
      <w:pPr>
        <w:pStyle w:val="style0"/>
        <w:rPr/>
      </w:pPr>
      <w:r>
        <w:t>Στην συνέχεια ακολουθούν έξι διαγράμματα εκτόπισης για διαφορετικά σημεία πάνω στο πλέγμα, αλλά και μέσα σε μεμονωμένα κελιά.</w:t>
      </w:r>
    </w:p>
    <w:p>
      <w:pPr>
        <w:pStyle w:val="style0"/>
        <w:rPr/>
      </w:pPr>
      <w:r>
        <w:t>Το πρώτο διάγραμμα είναι αυτό που χρησιμοποιήθηκε παραπάνω</w:t>
      </w:r>
      <w:r>
        <w:t xml:space="preserve"> (κελί της 6</w:t>
      </w:r>
      <w:r>
        <w:rPr>
          <w:vertAlign w:val="superscript"/>
        </w:rPr>
        <w:t>ης</w:t>
      </w:r>
      <w:r>
        <w:t xml:space="preserve"> σειράς και της 10</w:t>
      </w:r>
      <w:r>
        <w:rPr>
          <w:vertAlign w:val="superscript"/>
        </w:rPr>
        <w:t>ης</w:t>
      </w:r>
      <w:r>
        <w:t xml:space="preserve"> στήλης)</w:t>
      </w:r>
      <w:r>
        <w:t xml:space="preserve"> με το επόμενο να είναι το διάγραμμα στο ίδιο κελί, αλλά</w:t>
      </w:r>
      <w:r>
        <w:t xml:space="preserve"> στο σημείο επαφής </w:t>
      </w:r>
      <w:r>
        <w:t>της επ</w:t>
      </w:r>
      <w:r>
        <w:t>ένδυση</w:t>
      </w:r>
      <w:r>
        <w:t>ς</w:t>
      </w:r>
      <w:r>
        <w:t xml:space="preserve"> </w:t>
      </w:r>
      <w:r>
        <w:t>και το</w:t>
      </w:r>
      <w:r>
        <w:t>υ</w:t>
      </w:r>
      <w:r>
        <w:t xml:space="preserve"> πυρήνα</w:t>
      </w:r>
      <w:r>
        <w:t>.</w:t>
      </w:r>
    </w:p>
    <w:p>
      <w:pPr>
        <w:pStyle w:val="style0"/>
        <w:keepNext/>
        <w:jc w:val="center"/>
        <w:rPr/>
      </w:pPr>
      <w:r>
        <w:rPr>
          <w:noProof/>
        </w:rPr>
        <w:drawing>
          <wp:inline distL="0" distT="0" distB="0" distR="0">
            <wp:extent cx="5274310" cy="2503805"/>
            <wp:effectExtent l="0" t="0" r="2540" b="0"/>
            <wp:docPr id="1074" name="Εικόνα 3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7" name="Εικόνα 30"/>
                    <pic:cNvPicPr/>
                  </pic:nvPicPr>
                  <pic:blipFill>
                    <a:blip r:embed="rId50" cstate="print"/>
                    <a:srcRect l="0" t="0" r="0" b="0"/>
                    <a:stretch/>
                  </pic:blipFill>
                  <pic:spPr>
                    <a:xfrm rot="0">
                      <a:off x="0" y="0"/>
                      <a:ext cx="5274310" cy="2503805"/>
                    </a:xfrm>
                    <a:prstGeom prst="rect"/>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47</w:t>
      </w:r>
      <w:r>
        <w:rPr/>
        <w:fldChar w:fldCharType="end"/>
      </w:r>
      <w:r>
        <w:t xml:space="preserve"> Διάγραμμα μετατόπισης του κελιού 6ης σειράς και 10ης στήλης σε </w:t>
      </w:r>
      <w:r>
        <w:t>επαφή</w:t>
      </w:r>
      <w:r>
        <w:t xml:space="preserve"> με το τοίχωμα</w:t>
      </w:r>
    </w:p>
    <w:p>
      <w:pPr>
        <w:pStyle w:val="style0"/>
        <w:keepNext/>
        <w:jc w:val="center"/>
        <w:rPr/>
      </w:pPr>
      <w:r>
        <w:rPr>
          <w:noProof/>
        </w:rPr>
        <w:drawing>
          <wp:inline distL="0" distT="0" distB="0" distR="0">
            <wp:extent cx="5274310" cy="2503805"/>
            <wp:effectExtent l="0" t="0" r="2540" b="0"/>
            <wp:docPr id="1075" name="Εικόνα 3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8" name="Εικόνα 31"/>
                    <pic:cNvPicPr/>
                  </pic:nvPicPr>
                  <pic:blipFill>
                    <a:blip r:embed="rId51" cstate="print"/>
                    <a:srcRect l="0" t="0" r="0" b="0"/>
                    <a:stretch/>
                  </pic:blipFill>
                  <pic:spPr>
                    <a:xfrm rot="0">
                      <a:off x="0" y="0"/>
                      <a:ext cx="5274310" cy="2503805"/>
                    </a:xfrm>
                    <a:prstGeom prst="rect"/>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48</w:t>
      </w:r>
      <w:r>
        <w:rPr/>
        <w:fldChar w:fldCharType="end"/>
      </w:r>
      <w:r>
        <w:t xml:space="preserve"> </w:t>
      </w:r>
      <w:r>
        <w:t xml:space="preserve">Διάγραμμα μετατόπισης του κελιού 6ης σειράς και 10ης στήλης </w:t>
      </w:r>
      <w:r>
        <w:t>στο σημείο επαφής της επένδυσης και του πυρήνα</w:t>
      </w:r>
    </w:p>
    <w:p>
      <w:pPr>
        <w:pStyle w:val="style0"/>
        <w:rPr/>
      </w:pPr>
      <w:r>
        <w:t>Παρατηρ</w:t>
      </w:r>
      <w:r>
        <w:t>είται</w:t>
      </w:r>
      <w:r>
        <w:t xml:space="preserve"> ότι,</w:t>
      </w:r>
      <w:r>
        <w:t xml:space="preserve"> στην περίπτωση της επαφής με το τοίχωμα η μετατόπιση είναι</w:t>
      </w:r>
      <w:r>
        <w:t>, κατά μέσο όρο,</w:t>
      </w:r>
      <w:r>
        <w:t xml:space="preserve"> </w:t>
      </w:r>
      <w:r>
        <w:t>στην</w:t>
      </w:r>
      <w:r>
        <w:t xml:space="preserve"> τάξη τ</w:t>
      </w:r>
      <w:r>
        <w:t>ων</w:t>
      </w:r>
      <w:r>
        <w:t xml:space="preserve"> </w:t>
      </w:r>
      <w:r>
        <w:t>μ</w:t>
      </w:r>
      <w:r>
        <w:rPr>
          <w:lang w:val="en-US"/>
        </w:rPr>
        <w:t>m</w:t>
      </w:r>
      <w:r>
        <w:t>, κάτι που οφείλεται στην απ</w:t>
      </w:r>
      <w:r>
        <w:t>ορρόφηση της ενέργειας από το τοίχωμα.</w:t>
      </w:r>
    </w:p>
    <w:p>
      <w:pPr>
        <w:pStyle w:val="style0"/>
        <w:rPr/>
      </w:pPr>
      <w:r>
        <w:t xml:space="preserve">Στην συνέχεια ακολουθούν τρία διαγράμματα μετατόπισης </w:t>
      </w:r>
      <w:r>
        <w:t>των κελιών 6</w:t>
      </w:r>
      <w:r>
        <w:rPr>
          <w:vertAlign w:val="superscript"/>
        </w:rPr>
        <w:t>ης</w:t>
      </w:r>
      <w:r>
        <w:t xml:space="preserve"> σειράς 6</w:t>
      </w:r>
      <w:r>
        <w:rPr>
          <w:vertAlign w:val="superscript"/>
        </w:rPr>
        <w:t>ης</w:t>
      </w:r>
      <w:r>
        <w:t xml:space="preserve"> στήλης, 1</w:t>
      </w:r>
      <w:r>
        <w:rPr>
          <w:vertAlign w:val="superscript"/>
        </w:rPr>
        <w:t>ης</w:t>
      </w:r>
      <w:r>
        <w:t xml:space="preserve"> σειράς 10</w:t>
      </w:r>
      <w:r>
        <w:rPr>
          <w:vertAlign w:val="superscript"/>
        </w:rPr>
        <w:t>ης</w:t>
      </w:r>
      <w:r>
        <w:t xml:space="preserve"> στήλης και 10</w:t>
      </w:r>
      <w:r>
        <w:rPr>
          <w:vertAlign w:val="superscript"/>
        </w:rPr>
        <w:t>ης</w:t>
      </w:r>
      <w:r>
        <w:t xml:space="preserve"> σειράς 10</w:t>
      </w:r>
      <w:r>
        <w:rPr>
          <w:vertAlign w:val="superscript"/>
        </w:rPr>
        <w:t>ης</w:t>
      </w:r>
      <w:r>
        <w:t xml:space="preserve"> στήλης αντίστοιχα, σε σημείο επαφής του πυρήνα με την επένδυση.</w:t>
      </w:r>
    </w:p>
    <w:p>
      <w:pPr>
        <w:pStyle w:val="style0"/>
        <w:keepNext/>
        <w:jc w:val="center"/>
        <w:rPr/>
      </w:pPr>
      <w:r>
        <w:rPr>
          <w:noProof/>
        </w:rPr>
        <w:drawing>
          <wp:inline distL="0" distT="0" distB="0" distR="0">
            <wp:extent cx="5274310" cy="2503805"/>
            <wp:effectExtent l="0" t="0" r="2540" b="0"/>
            <wp:docPr id="1076" name="Εικόνα 3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9" name="Εικόνα 32"/>
                    <pic:cNvPicPr/>
                  </pic:nvPicPr>
                  <pic:blipFill>
                    <a:blip r:embed="rId52" cstate="print"/>
                    <a:srcRect l="0" t="0" r="0" b="0"/>
                    <a:stretch/>
                  </pic:blipFill>
                  <pic:spPr>
                    <a:xfrm rot="0">
                      <a:off x="0" y="0"/>
                      <a:ext cx="5274310" cy="2503805"/>
                    </a:xfrm>
                    <a:prstGeom prst="rect"/>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49</w:t>
      </w:r>
      <w:r>
        <w:rPr/>
        <w:fldChar w:fldCharType="end"/>
      </w:r>
      <w:r>
        <w:t xml:space="preserve"> </w:t>
      </w:r>
      <w:r>
        <w:t xml:space="preserve">Διάγραμμα μετατόπισης του κελιού 6ης σειράς και </w:t>
      </w:r>
      <w:r>
        <w:t>6</w:t>
      </w:r>
      <w:r>
        <w:t>ης στήλης στο σημείο επαφής της επένδυσης και του πυρήνα</w:t>
      </w:r>
    </w:p>
    <w:p>
      <w:pPr>
        <w:pStyle w:val="style0"/>
        <w:keepNext/>
        <w:jc w:val="center"/>
        <w:rPr/>
      </w:pPr>
      <w:r>
        <w:rPr>
          <w:noProof/>
        </w:rPr>
        <w:drawing>
          <wp:inline distL="0" distT="0" distB="0" distR="0">
            <wp:extent cx="5274310" cy="2503805"/>
            <wp:effectExtent l="0" t="0" r="2540" b="0"/>
            <wp:docPr id="1077" name="Εικόνα 3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0" name="Εικόνα 36"/>
                    <pic:cNvPicPr/>
                  </pic:nvPicPr>
                  <pic:blipFill>
                    <a:blip r:embed="rId53" cstate="print"/>
                    <a:srcRect l="0" t="0" r="0" b="0"/>
                    <a:stretch/>
                  </pic:blipFill>
                  <pic:spPr>
                    <a:xfrm rot="0">
                      <a:off x="0" y="0"/>
                      <a:ext cx="5274310" cy="2503805"/>
                    </a:xfrm>
                    <a:prstGeom prst="rect"/>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50</w:t>
      </w:r>
      <w:r>
        <w:rPr/>
        <w:fldChar w:fldCharType="end"/>
      </w:r>
      <w:r>
        <w:t xml:space="preserve"> Διάγραμμα μετατόπισης του κελιού </w:t>
      </w:r>
      <w:r>
        <w:t>1</w:t>
      </w:r>
      <w:r>
        <w:t xml:space="preserve">ης σειράς και </w:t>
      </w:r>
      <w:r>
        <w:t>10</w:t>
      </w:r>
      <w:r>
        <w:t>ης στήλης στο σημείο επαφής της επένδυσης και του πυρήνα</w:t>
      </w:r>
    </w:p>
    <w:p>
      <w:pPr>
        <w:pStyle w:val="style34"/>
        <w:jc w:val="center"/>
        <w:rPr/>
      </w:pPr>
      <w:r>
        <w:rPr>
          <w:noProof/>
        </w:rPr>
        <w:drawing>
          <wp:inline distL="0" distT="0" distB="0" distR="0">
            <wp:extent cx="5274310" cy="2503805"/>
            <wp:effectExtent l="0" t="0" r="2540" b="0"/>
            <wp:docPr id="1078" name="Εικόνα 3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1" name="Εικόνα 37"/>
                    <pic:cNvPicPr/>
                  </pic:nvPicPr>
                  <pic:blipFill>
                    <a:blip r:embed="rId54" cstate="print"/>
                    <a:srcRect l="0" t="0" r="0" b="0"/>
                    <a:stretch/>
                  </pic:blipFill>
                  <pic:spPr>
                    <a:xfrm rot="0">
                      <a:off x="0" y="0"/>
                      <a:ext cx="5274310" cy="2503805"/>
                    </a:xfrm>
                    <a:prstGeom prst="rect"/>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51</w:t>
      </w:r>
      <w:r>
        <w:rPr/>
        <w:fldChar w:fldCharType="end"/>
      </w:r>
      <w:r>
        <w:t xml:space="preserve"> Διάγραμμα μετατόπισης του κελιού 1</w:t>
      </w:r>
      <w:r>
        <w:t>0</w:t>
      </w:r>
      <w:r>
        <w:t>ης σειράς και 10ης στήλης στο σημείο επαφής της επένδυσης και του πυρήνα</w:t>
      </w:r>
    </w:p>
    <w:p>
      <w:pPr>
        <w:pStyle w:val="style0"/>
        <w:rPr/>
      </w:pPr>
      <w:r>
        <w:t>Παρατηρείται</w:t>
      </w:r>
      <w:r>
        <w:t xml:space="preserve"> ότι,</w:t>
      </w:r>
      <w:r>
        <w:t xml:space="preserve"> στην περίπτωση του κελιού 6</w:t>
      </w:r>
      <w:r>
        <w:rPr>
          <w:vertAlign w:val="superscript"/>
        </w:rPr>
        <w:t>ης</w:t>
      </w:r>
      <w:r>
        <w:t xml:space="preserve"> σειράς και 6</w:t>
      </w:r>
      <w:r>
        <w:rPr>
          <w:vertAlign w:val="superscript"/>
        </w:rPr>
        <w:t>ης</w:t>
      </w:r>
      <w:r>
        <w:t xml:space="preserve"> στήλης, υπάρχει </w:t>
      </w:r>
      <w:r>
        <w:t>μια κορυφή (10</w:t>
      </w:r>
      <w:r>
        <w:rPr>
          <w:vertAlign w:val="superscript"/>
        </w:rPr>
        <w:t>2</w:t>
      </w:r>
      <w:r>
        <w:rPr>
          <w:lang w:val="en-US"/>
        </w:rPr>
        <w:t>m</w:t>
      </w:r>
      <w:r>
        <w:t>) σε χαμηλές συχνότητες</w:t>
      </w:r>
      <w:r>
        <w:t xml:space="preserve"> και </w:t>
      </w:r>
      <w:r>
        <w:t>φαίνεται ότι το μέσο εύρος έχει αρκετά μεγάλη διακύμανση, συγκριτικά με τα άλλα 2 διαγράμματα.</w:t>
      </w:r>
    </w:p>
    <w:p>
      <w:pPr>
        <w:pStyle w:val="style0"/>
        <w:rPr/>
      </w:pPr>
      <w:r>
        <w:t>Τέλος, παρατίθεται το διάγραμμα μετατόπισης στο σημείο σύνδεσης 2 κελιών</w:t>
      </w:r>
      <w:r>
        <w:t>, μεταξύ του κελιού της 6</w:t>
      </w:r>
      <w:r>
        <w:rPr>
          <w:vertAlign w:val="superscript"/>
        </w:rPr>
        <w:t>ης</w:t>
      </w:r>
      <w:r>
        <w:t xml:space="preserve"> σειράς και 10</w:t>
      </w:r>
      <w:r>
        <w:rPr>
          <w:vertAlign w:val="superscript"/>
        </w:rPr>
        <w:t>ης</w:t>
      </w:r>
      <w:r>
        <w:t xml:space="preserve"> στήλης και του κελιού 7</w:t>
      </w:r>
      <w:r>
        <w:rPr>
          <w:vertAlign w:val="superscript"/>
        </w:rPr>
        <w:t>ης</w:t>
      </w:r>
      <w:r>
        <w:t xml:space="preserve"> σειράς και 10</w:t>
      </w:r>
      <w:r>
        <w:rPr>
          <w:vertAlign w:val="superscript"/>
        </w:rPr>
        <w:t>ης</w:t>
      </w:r>
      <w:r>
        <w:t xml:space="preserve"> στήλης.</w:t>
      </w:r>
    </w:p>
    <w:p>
      <w:pPr>
        <w:pStyle w:val="style0"/>
        <w:keepNext/>
        <w:jc w:val="center"/>
        <w:rPr/>
      </w:pPr>
      <w:r>
        <w:rPr>
          <w:noProof/>
        </w:rPr>
        <w:drawing>
          <wp:inline distL="0" distT="0" distB="0" distR="0">
            <wp:extent cx="5274310" cy="2503805"/>
            <wp:effectExtent l="0" t="0" r="2540" b="0"/>
            <wp:docPr id="1079" name="Εικόνα 4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2" name="Εικόνα 41"/>
                    <pic:cNvPicPr/>
                  </pic:nvPicPr>
                  <pic:blipFill>
                    <a:blip r:embed="rId55" cstate="print"/>
                    <a:srcRect l="0" t="0" r="0" b="0"/>
                    <a:stretch/>
                  </pic:blipFill>
                  <pic:spPr>
                    <a:xfrm rot="0">
                      <a:off x="0" y="0"/>
                      <a:ext cx="5274310" cy="2503805"/>
                    </a:xfrm>
                    <a:prstGeom prst="rect"/>
                  </pic:spPr>
                </pic:pic>
              </a:graphicData>
            </a:graphic>
          </wp:inline>
        </w:drawing>
      </w:r>
    </w:p>
    <w:p>
      <w:pPr>
        <w:pStyle w:val="style34"/>
        <w:jc w:val="center"/>
        <w:rPr/>
      </w:pPr>
      <w:r>
        <w:t xml:space="preserve">Εικόνα </w:t>
      </w:r>
      <w:r>
        <w:rPr/>
        <w:fldChar w:fldCharType="begin"/>
      </w:r>
      <w:r>
        <w:instrText xml:space="preserve"> SEQ Εικόνα \* ARABIC </w:instrText>
      </w:r>
      <w:r>
        <w:rPr/>
        <w:fldChar w:fldCharType="separate"/>
      </w:r>
      <w:r>
        <w:rPr>
          <w:noProof/>
        </w:rPr>
        <w:t>52</w:t>
      </w:r>
      <w:r>
        <w:rPr/>
        <w:fldChar w:fldCharType="end"/>
      </w:r>
      <w:r>
        <w:t xml:space="preserve"> </w:t>
      </w:r>
      <w:r>
        <w:t>Διάγραμμα μετατόπισης</w:t>
      </w:r>
      <w:r>
        <w:t xml:space="preserve"> </w:t>
      </w:r>
      <w:r>
        <w:t>στο σημείο επαφής</w:t>
      </w:r>
      <w:r>
        <w:t xml:space="preserve"> των κελιών 6</w:t>
      </w:r>
      <w:r>
        <w:t>ης σειράς και 10ης στήλης</w:t>
      </w:r>
      <w:r>
        <w:t xml:space="preserve"> και 7</w:t>
      </w:r>
      <w:r>
        <w:t>ης σειράς και 10ης στήλης</w:t>
      </w:r>
    </w:p>
    <w:p>
      <w:pPr>
        <w:pStyle w:val="style0"/>
        <w:rPr/>
      </w:pPr>
      <w:r>
        <w:t>Όπου παρατηρείται</w:t>
      </w:r>
      <w:r>
        <w:t xml:space="preserve">, </w:t>
      </w:r>
      <w:r>
        <w:t>το μεγαλύτερο</w:t>
      </w:r>
      <w:r>
        <w:t>,</w:t>
      </w:r>
      <w:r>
        <w:t xml:space="preserve"> κατά μέσο όρο</w:t>
      </w:r>
      <w:r>
        <w:t>,</w:t>
      </w:r>
      <w:r>
        <w:t xml:space="preserve"> εύρος</w:t>
      </w:r>
      <w:r>
        <w:t xml:space="preserve"> συγκριτικά με τις προηγούμενες περιπτώσεις.</w:t>
      </w:r>
    </w:p>
    <w:bookmarkStart w:id="67" w:name="_Toc66524615"/>
    <w:p>
      <w:pPr>
        <w:pStyle w:val="style0"/>
        <w:rPr>
          <w:rFonts w:ascii="Calibri Light" w:cs="宋体" w:eastAsia="宋体" w:hAnsi="Calibri Light"/>
          <w:color w:val="2f5496"/>
          <w:sz w:val="32"/>
          <w:szCs w:val="32"/>
        </w:rPr>
      </w:pPr>
      <w:r>
        <w:br w:type="page"/>
      </w:r>
    </w:p>
    <w:bookmarkStart w:id="68" w:name="_Toc77270452"/>
    <w:p>
      <w:pPr>
        <w:pStyle w:val="style1"/>
        <w:rPr/>
      </w:pPr>
      <w:r>
        <w:t>Κεφάλαιο 8 – Συμπεράσματα</w:t>
      </w:r>
      <w:bookmarkEnd w:id="67"/>
      <w:bookmarkEnd w:id="68"/>
    </w:p>
    <w:p>
      <w:pPr>
        <w:pStyle w:val="style0"/>
        <w:rPr/>
      </w:pPr>
    </w:p>
    <w:bookmarkStart w:id="69" w:name="_Toc66524616"/>
    <w:bookmarkStart w:id="70" w:name="_Toc77270453"/>
    <w:p>
      <w:pPr>
        <w:pStyle w:val="style2"/>
        <w:rPr/>
      </w:pPr>
      <w:r>
        <w:t>Παραμετροποίηση ακτίνας</w:t>
      </w:r>
      <w:r>
        <w:t xml:space="preserve"> σκελετού</w:t>
      </w:r>
      <w:r>
        <w:t xml:space="preserve"> </w:t>
      </w:r>
      <w:r>
        <w:t>(</w:t>
      </w:r>
      <w:r>
        <w:rPr>
          <w:lang w:val="en-US"/>
        </w:rPr>
        <w:t>r</w:t>
      </w:r>
      <w:r>
        <w:t>)</w:t>
      </w:r>
      <w:bookmarkEnd w:id="69"/>
      <w:bookmarkEnd w:id="70"/>
    </w:p>
    <w:p>
      <w:pPr>
        <w:pStyle w:val="style0"/>
        <w:rPr/>
      </w:pPr>
    </w:p>
    <w:p>
      <w:pPr>
        <w:pStyle w:val="style0"/>
        <w:rPr>
          <w:color w:val="000000"/>
        </w:rPr>
      </w:pPr>
      <w:r>
        <w:rPr>
          <w:color w:val="000000"/>
        </w:rPr>
        <w:t xml:space="preserve">Αρχικά, συγκεντρώνοντας τα αποτελέσματα, </w:t>
      </w:r>
      <w:r>
        <w:rPr>
          <w:color w:val="000000"/>
        </w:rPr>
        <w:t>φαίνεται</w:t>
      </w:r>
      <w:r>
        <w:rPr>
          <w:color w:val="000000"/>
        </w:rPr>
        <w:t xml:space="preserve"> ότι όσο μικρότερη είναι η  ακτίνα του σκελετού και κατ’ επέκταση του πυρήνα τόσο αυξάνεται το εύρος των 20 πρώτων ιδιοσυχνοτήτων, στην δοκιμή με ακτίνα 0</w:t>
      </w:r>
      <w:r>
        <w:rPr>
          <w:color w:val="000000"/>
        </w:rPr>
        <w:t>.</w:t>
      </w:r>
      <w:r>
        <w:rPr>
          <w:color w:val="000000"/>
        </w:rPr>
        <w:t>004 έχουμε [0-20270 Η</w:t>
      </w:r>
      <w:r>
        <w:rPr>
          <w:color w:val="000000"/>
          <w:lang w:val="en-US"/>
        </w:rPr>
        <w:t>z</w:t>
      </w:r>
      <w:r>
        <w:rPr>
          <w:color w:val="000000"/>
        </w:rPr>
        <w:t>] ενώ σε αυτήν με ακτίνα 0</w:t>
      </w:r>
      <w:r>
        <w:rPr>
          <w:color w:val="000000"/>
        </w:rPr>
        <w:t>.</w:t>
      </w:r>
      <w:r>
        <w:rPr>
          <w:color w:val="000000"/>
        </w:rPr>
        <w:t xml:space="preserve">006 [0-13120 </w:t>
      </w:r>
      <w:r>
        <w:rPr>
          <w:color w:val="000000"/>
          <w:lang w:val="en-US"/>
        </w:rPr>
        <w:t>Hz</w:t>
      </w:r>
      <w:r>
        <w:rPr>
          <w:color w:val="000000"/>
        </w:rPr>
        <w:t>].</w:t>
      </w:r>
    </w:p>
    <w:p>
      <w:pPr>
        <w:pStyle w:val="style0"/>
        <w:rPr>
          <w:color w:val="000000"/>
        </w:rPr>
      </w:pPr>
      <w:r>
        <w:rPr>
          <w:color w:val="000000"/>
        </w:rPr>
        <w:t xml:space="preserve">Στον παρακάτω πίνακα συνοψίζονται τα στοιχεία, </w:t>
      </w:r>
      <w:r>
        <w:rPr>
          <w:color w:val="000000"/>
        </w:rPr>
        <w:t>για</w:t>
      </w:r>
      <w:r>
        <w:rPr>
          <w:color w:val="000000"/>
        </w:rPr>
        <w:t xml:space="preserve"> ευκολία:</w:t>
      </w:r>
    </w:p>
    <w:tbl>
      <w:tblPr>
        <w:tblStyle w:val="style154"/>
        <w:tblW w:w="0" w:type="auto"/>
        <w:tblLook w:val="04A0" w:firstRow="1" w:lastRow="0" w:firstColumn="1" w:lastColumn="0" w:noHBand="0" w:noVBand="1"/>
      </w:tblPr>
      <w:tblGrid>
        <w:gridCol w:w="1382"/>
        <w:gridCol w:w="1382"/>
        <w:gridCol w:w="1383"/>
        <w:gridCol w:w="1383"/>
        <w:gridCol w:w="1383"/>
        <w:gridCol w:w="1383"/>
      </w:tblGrid>
      <w:tr>
        <w:trPr/>
        <w:tc>
          <w:tcPr>
            <w:tcW w:w="1382" w:type="dxa"/>
            <w:tcBorders/>
          </w:tcPr>
          <w:p>
            <w:pPr>
              <w:pStyle w:val="style0"/>
              <w:jc w:val="center"/>
              <w:rPr>
                <w:color w:val="000000"/>
              </w:rPr>
            </w:pPr>
          </w:p>
        </w:tc>
        <w:tc>
          <w:tcPr>
            <w:tcW w:w="1382" w:type="dxa"/>
            <w:tcBorders/>
          </w:tcPr>
          <w:p>
            <w:pPr>
              <w:pStyle w:val="style0"/>
              <w:jc w:val="center"/>
              <w:rPr>
                <w:color w:val="000000"/>
                <w:lang w:val="en-US"/>
              </w:rPr>
            </w:pPr>
            <w:r>
              <w:rPr>
                <w:color w:val="000000"/>
                <w:lang w:val="en-US"/>
              </w:rPr>
              <w:t>r=0.004 m</w:t>
            </w:r>
          </w:p>
        </w:tc>
        <w:tc>
          <w:tcPr>
            <w:tcW w:w="1383" w:type="dxa"/>
            <w:tcBorders/>
          </w:tcPr>
          <w:p>
            <w:pPr>
              <w:pStyle w:val="style0"/>
              <w:jc w:val="center"/>
              <w:rPr>
                <w:color w:val="000000"/>
                <w:lang w:val="en-US"/>
              </w:rPr>
            </w:pPr>
            <w:r>
              <w:rPr>
                <w:color w:val="000000"/>
                <w:lang w:val="en-US"/>
              </w:rPr>
              <w:t>r=0.0045 m</w:t>
            </w:r>
          </w:p>
        </w:tc>
        <w:tc>
          <w:tcPr>
            <w:tcW w:w="1383" w:type="dxa"/>
            <w:tcBorders/>
          </w:tcPr>
          <w:p>
            <w:pPr>
              <w:pStyle w:val="style0"/>
              <w:jc w:val="center"/>
              <w:rPr>
                <w:color w:val="000000"/>
                <w:lang w:val="en-US"/>
              </w:rPr>
            </w:pPr>
            <w:r>
              <w:rPr>
                <w:color w:val="000000"/>
                <w:lang w:val="en-US"/>
              </w:rPr>
              <w:t>r=0.005 m</w:t>
            </w:r>
          </w:p>
        </w:tc>
        <w:tc>
          <w:tcPr>
            <w:tcW w:w="1383" w:type="dxa"/>
            <w:tcBorders/>
          </w:tcPr>
          <w:p>
            <w:pPr>
              <w:pStyle w:val="style0"/>
              <w:jc w:val="center"/>
              <w:rPr>
                <w:color w:val="000000"/>
                <w:lang w:val="en-US"/>
              </w:rPr>
            </w:pPr>
            <w:r>
              <w:rPr>
                <w:color w:val="000000"/>
                <w:lang w:val="en-US"/>
              </w:rPr>
              <w:t>r=0.0055 m</w:t>
            </w:r>
          </w:p>
        </w:tc>
        <w:tc>
          <w:tcPr>
            <w:tcW w:w="1383" w:type="dxa"/>
            <w:tcBorders/>
          </w:tcPr>
          <w:p>
            <w:pPr>
              <w:pStyle w:val="style0"/>
              <w:jc w:val="center"/>
              <w:rPr>
                <w:color w:val="000000"/>
                <w:lang w:val="en-US"/>
              </w:rPr>
            </w:pPr>
            <w:r>
              <w:rPr>
                <w:color w:val="000000"/>
                <w:lang w:val="en-US"/>
              </w:rPr>
              <w:t>r=0.006 m</w:t>
            </w:r>
          </w:p>
        </w:tc>
      </w:tr>
      <w:tr>
        <w:tblPrEx/>
        <w:trPr/>
        <w:tc>
          <w:tcPr>
            <w:tcW w:w="1382" w:type="dxa"/>
            <w:tcBorders/>
          </w:tcPr>
          <w:p>
            <w:pPr>
              <w:pStyle w:val="style0"/>
              <w:jc w:val="center"/>
              <w:rPr>
                <w:color w:val="000000"/>
                <w:lang w:val="en-US"/>
              </w:rPr>
            </w:pPr>
            <w:r>
              <w:rPr>
                <w:color w:val="000000"/>
              </w:rPr>
              <w:t>1</w:t>
            </w:r>
            <w:r>
              <w:rPr>
                <w:color w:val="000000"/>
                <w:vertAlign w:val="superscript"/>
              </w:rPr>
              <w:t>ο</w:t>
            </w:r>
            <w:r>
              <w:rPr>
                <w:color w:val="000000"/>
              </w:rPr>
              <w:t xml:space="preserve"> </w:t>
            </w:r>
            <w:r>
              <w:rPr>
                <w:color w:val="000000"/>
                <w:lang w:val="en-US"/>
              </w:rPr>
              <w:t>band gap</w:t>
            </w:r>
          </w:p>
        </w:tc>
        <w:tc>
          <w:tcPr>
            <w:tcW w:w="1382" w:type="dxa"/>
            <w:tcBorders/>
          </w:tcPr>
          <w:p>
            <w:pPr>
              <w:pStyle w:val="style0"/>
              <w:jc w:val="center"/>
              <w:rPr>
                <w:color w:val="000000"/>
                <w:vertAlign w:val="superscript"/>
              </w:rPr>
            </w:pPr>
            <w:r>
              <w:rPr>
                <w:color w:val="000000"/>
              </w:rPr>
              <w:t>4</w:t>
            </w:r>
            <w:r>
              <w:rPr>
                <w:color w:val="000000"/>
                <w:vertAlign w:val="superscript"/>
              </w:rPr>
              <w:t>η</w:t>
            </w:r>
            <w:r>
              <w:rPr>
                <w:color w:val="000000"/>
              </w:rPr>
              <w:t>-5</w:t>
            </w:r>
            <w:r>
              <w:rPr>
                <w:color w:val="000000"/>
                <w:vertAlign w:val="superscript"/>
              </w:rPr>
              <w:t>η</w:t>
            </w:r>
          </w:p>
          <w:p>
            <w:pPr>
              <w:pStyle w:val="style0"/>
              <w:jc w:val="center"/>
              <w:rPr>
                <w:color w:val="000000"/>
              </w:rPr>
            </w:pPr>
            <w:r>
              <w:rPr>
                <w:color w:val="000000"/>
              </w:rPr>
              <w:t xml:space="preserve">[3720- 3890 </w:t>
            </w:r>
            <w:r>
              <w:rPr>
                <w:color w:val="000000"/>
                <w:lang w:val="en-US"/>
              </w:rPr>
              <w:t>Hz</w:t>
            </w:r>
            <w:r>
              <w:rPr>
                <w:color w:val="000000"/>
              </w:rPr>
              <w:t>]</w:t>
            </w:r>
          </w:p>
        </w:tc>
        <w:tc>
          <w:tcPr>
            <w:tcW w:w="1383" w:type="dxa"/>
            <w:tcBorders/>
          </w:tcPr>
          <w:p>
            <w:pPr>
              <w:pStyle w:val="style0"/>
              <w:jc w:val="center"/>
              <w:rPr>
                <w:color w:val="000000"/>
                <w:vertAlign w:val="superscript"/>
              </w:rPr>
            </w:pPr>
            <w:r>
              <w:rPr>
                <w:color w:val="000000"/>
              </w:rPr>
              <w:t>2</w:t>
            </w:r>
            <w:r>
              <w:rPr>
                <w:color w:val="000000"/>
                <w:vertAlign w:val="superscript"/>
              </w:rPr>
              <w:t>η</w:t>
            </w:r>
            <w:r>
              <w:rPr>
                <w:color w:val="000000"/>
              </w:rPr>
              <w:t>-3</w:t>
            </w:r>
            <w:r>
              <w:rPr>
                <w:color w:val="000000"/>
                <w:vertAlign w:val="superscript"/>
              </w:rPr>
              <w:t xml:space="preserve">η </w:t>
            </w:r>
          </w:p>
          <w:p>
            <w:pPr>
              <w:pStyle w:val="style0"/>
              <w:jc w:val="center"/>
              <w:rPr>
                <w:color w:val="000000"/>
              </w:rPr>
            </w:pPr>
            <w:r>
              <w:rPr>
                <w:color w:val="000000"/>
              </w:rPr>
              <w:t xml:space="preserve">[2955-3020 </w:t>
            </w:r>
            <w:r>
              <w:rPr>
                <w:color w:val="000000"/>
                <w:lang w:val="en-US"/>
              </w:rPr>
              <w:t>Hz</w:t>
            </w:r>
            <w:r>
              <w:rPr>
                <w:color w:val="000000"/>
              </w:rPr>
              <w:t>]</w:t>
            </w:r>
          </w:p>
        </w:tc>
        <w:tc>
          <w:tcPr>
            <w:tcW w:w="1383" w:type="dxa"/>
            <w:tcBorders/>
          </w:tcPr>
          <w:p>
            <w:pPr>
              <w:pStyle w:val="style0"/>
              <w:jc w:val="center"/>
              <w:rPr>
                <w:color w:val="000000"/>
              </w:rPr>
            </w:pPr>
            <w:r>
              <w:rPr>
                <w:color w:val="000000"/>
              </w:rPr>
              <w:t>4</w:t>
            </w:r>
            <w:r>
              <w:rPr>
                <w:color w:val="000000"/>
                <w:vertAlign w:val="superscript"/>
              </w:rPr>
              <w:t>η</w:t>
            </w:r>
            <w:r>
              <w:rPr>
                <w:color w:val="000000"/>
              </w:rPr>
              <w:t>-5</w:t>
            </w:r>
            <w:r>
              <w:rPr>
                <w:color w:val="000000"/>
                <w:vertAlign w:val="superscript"/>
              </w:rPr>
              <w:t>η</w:t>
            </w:r>
            <w:r>
              <w:rPr>
                <w:color w:val="000000"/>
              </w:rPr>
              <w:t xml:space="preserve"> </w:t>
            </w:r>
          </w:p>
          <w:p>
            <w:pPr>
              <w:pStyle w:val="style0"/>
              <w:jc w:val="center"/>
              <w:rPr>
                <w:color w:val="000000"/>
              </w:rPr>
            </w:pPr>
            <w:r>
              <w:rPr>
                <w:color w:val="000000"/>
              </w:rPr>
              <w:t xml:space="preserve">[3030- 3148 </w:t>
            </w:r>
            <w:r>
              <w:rPr>
                <w:color w:val="000000"/>
                <w:lang w:val="en-US"/>
              </w:rPr>
              <w:t>Hz</w:t>
            </w:r>
            <w:r>
              <w:rPr>
                <w:color w:val="000000"/>
              </w:rPr>
              <w:t>]</w:t>
            </w:r>
          </w:p>
        </w:tc>
        <w:tc>
          <w:tcPr>
            <w:tcW w:w="1383" w:type="dxa"/>
            <w:tcBorders/>
          </w:tcPr>
          <w:p>
            <w:pPr>
              <w:pStyle w:val="style0"/>
              <w:jc w:val="center"/>
              <w:rPr>
                <w:color w:val="000000"/>
              </w:rPr>
            </w:pPr>
            <w:r>
              <w:rPr>
                <w:color w:val="000000"/>
              </w:rPr>
              <w:t>4</w:t>
            </w:r>
            <w:r>
              <w:rPr>
                <w:color w:val="000000"/>
                <w:vertAlign w:val="superscript"/>
              </w:rPr>
              <w:t>η</w:t>
            </w:r>
            <w:r>
              <w:rPr>
                <w:color w:val="000000"/>
              </w:rPr>
              <w:t>-5</w:t>
            </w:r>
            <w:r>
              <w:rPr>
                <w:color w:val="000000"/>
                <w:vertAlign w:val="superscript"/>
              </w:rPr>
              <w:t>η</w:t>
            </w:r>
            <w:r>
              <w:rPr>
                <w:color w:val="000000"/>
              </w:rPr>
              <w:t xml:space="preserve"> </w:t>
            </w:r>
          </w:p>
          <w:p>
            <w:pPr>
              <w:pStyle w:val="style0"/>
              <w:jc w:val="center"/>
              <w:rPr>
                <w:color w:val="000000"/>
              </w:rPr>
            </w:pPr>
            <w:r>
              <w:rPr>
                <w:color w:val="000000"/>
              </w:rPr>
              <w:t xml:space="preserve">[2945- 3020 </w:t>
            </w:r>
            <w:r>
              <w:rPr>
                <w:color w:val="000000"/>
                <w:lang w:val="en-US"/>
              </w:rPr>
              <w:t>Hz</w:t>
            </w:r>
            <w:r>
              <w:rPr>
                <w:color w:val="000000"/>
              </w:rPr>
              <w:t>]</w:t>
            </w:r>
          </w:p>
        </w:tc>
        <w:tc>
          <w:tcPr>
            <w:tcW w:w="1383" w:type="dxa"/>
            <w:tcBorders/>
          </w:tcPr>
          <w:p>
            <w:pPr>
              <w:pStyle w:val="style0"/>
              <w:jc w:val="center"/>
              <w:rPr>
                <w:color w:val="000000"/>
              </w:rPr>
            </w:pPr>
            <w:r>
              <w:rPr>
                <w:color w:val="000000"/>
              </w:rPr>
              <w:t>4</w:t>
            </w:r>
            <w:r>
              <w:rPr>
                <w:color w:val="000000"/>
                <w:vertAlign w:val="superscript"/>
              </w:rPr>
              <w:t>η</w:t>
            </w:r>
            <w:r>
              <w:rPr>
                <w:color w:val="000000"/>
              </w:rPr>
              <w:t>-5</w:t>
            </w:r>
            <w:r>
              <w:rPr>
                <w:color w:val="000000"/>
                <w:vertAlign w:val="superscript"/>
              </w:rPr>
              <w:t>η</w:t>
            </w:r>
            <w:r>
              <w:rPr>
                <w:color w:val="000000"/>
              </w:rPr>
              <w:t xml:space="preserve"> </w:t>
            </w:r>
          </w:p>
          <w:p>
            <w:pPr>
              <w:pStyle w:val="style0"/>
              <w:jc w:val="center"/>
              <w:rPr>
                <w:color w:val="000000"/>
                <w:lang w:val="en-US"/>
              </w:rPr>
            </w:pPr>
            <w:r>
              <w:rPr>
                <w:color w:val="000000"/>
              </w:rPr>
              <w:t>[2945-3020</w:t>
            </w:r>
            <w:r>
              <w:rPr>
                <w:color w:val="000000"/>
                <w:lang w:val="en-US"/>
              </w:rPr>
              <w:t xml:space="preserve"> Hz]</w:t>
            </w:r>
          </w:p>
        </w:tc>
      </w:tr>
      <w:tr>
        <w:tblPrEx/>
        <w:trPr/>
        <w:tc>
          <w:tcPr>
            <w:tcW w:w="1382" w:type="dxa"/>
            <w:tcBorders/>
          </w:tcPr>
          <w:p>
            <w:pPr>
              <w:pStyle w:val="style0"/>
              <w:jc w:val="center"/>
              <w:rPr>
                <w:color w:val="000000"/>
              </w:rPr>
            </w:pPr>
            <w:r>
              <w:rPr>
                <w:color w:val="000000"/>
              </w:rPr>
              <w:t>2</w:t>
            </w:r>
            <w:r>
              <w:rPr>
                <w:color w:val="000000"/>
                <w:vertAlign w:val="superscript"/>
              </w:rPr>
              <w:t>ο</w:t>
            </w:r>
            <w:r>
              <w:rPr>
                <w:color w:val="000000"/>
              </w:rPr>
              <w:t xml:space="preserve"> </w:t>
            </w:r>
            <w:r>
              <w:rPr>
                <w:color w:val="000000"/>
                <w:lang w:val="en-US"/>
              </w:rPr>
              <w:t>band gap</w:t>
            </w:r>
          </w:p>
        </w:tc>
        <w:tc>
          <w:tcPr>
            <w:tcW w:w="1382" w:type="dxa"/>
            <w:tcBorders/>
          </w:tcPr>
          <w:p>
            <w:pPr>
              <w:pStyle w:val="style0"/>
              <w:jc w:val="center"/>
              <w:rPr>
                <w:color w:val="000000"/>
                <w:vertAlign w:val="superscript"/>
              </w:rPr>
            </w:pPr>
            <w:r>
              <w:rPr>
                <w:color w:val="000000"/>
              </w:rPr>
              <w:t>9</w:t>
            </w:r>
            <w:r>
              <w:rPr>
                <w:color w:val="000000"/>
                <w:vertAlign w:val="superscript"/>
              </w:rPr>
              <w:t>η</w:t>
            </w:r>
            <w:r>
              <w:rPr>
                <w:color w:val="000000"/>
              </w:rPr>
              <w:t>-10</w:t>
            </w:r>
            <w:r>
              <w:rPr>
                <w:color w:val="000000"/>
                <w:vertAlign w:val="superscript"/>
              </w:rPr>
              <w:t>η</w:t>
            </w:r>
          </w:p>
          <w:p>
            <w:pPr>
              <w:pStyle w:val="style0"/>
              <w:jc w:val="center"/>
              <w:rPr>
                <w:color w:val="000000"/>
              </w:rPr>
            </w:pPr>
            <w:r>
              <w:rPr>
                <w:color w:val="000000"/>
              </w:rPr>
              <w:t xml:space="preserve">[11065- 12010 </w:t>
            </w:r>
            <w:r>
              <w:rPr>
                <w:color w:val="000000"/>
                <w:lang w:val="en-US"/>
              </w:rPr>
              <w:t>Hz</w:t>
            </w:r>
            <w:r>
              <w:rPr>
                <w:color w:val="000000"/>
              </w:rPr>
              <w:t>]</w:t>
            </w:r>
          </w:p>
        </w:tc>
        <w:tc>
          <w:tcPr>
            <w:tcW w:w="1383" w:type="dxa"/>
            <w:tcBorders/>
          </w:tcPr>
          <w:p>
            <w:pPr>
              <w:pStyle w:val="style0"/>
              <w:jc w:val="center"/>
              <w:rPr>
                <w:color w:val="000000"/>
                <w:vertAlign w:val="superscript"/>
              </w:rPr>
            </w:pPr>
            <w:r>
              <w:rPr>
                <w:color w:val="000000"/>
              </w:rPr>
              <w:t>4</w:t>
            </w:r>
            <w:r>
              <w:rPr>
                <w:color w:val="000000"/>
                <w:vertAlign w:val="superscript"/>
              </w:rPr>
              <w:t>η</w:t>
            </w:r>
            <w:r>
              <w:rPr>
                <w:color w:val="000000"/>
              </w:rPr>
              <w:t>-5</w:t>
            </w:r>
            <w:r>
              <w:rPr>
                <w:color w:val="000000"/>
                <w:vertAlign w:val="superscript"/>
              </w:rPr>
              <w:t xml:space="preserve">η </w:t>
            </w:r>
          </w:p>
          <w:p>
            <w:pPr>
              <w:pStyle w:val="style0"/>
              <w:jc w:val="center"/>
              <w:rPr>
                <w:color w:val="000000"/>
                <w:lang w:val="en-US"/>
              </w:rPr>
            </w:pPr>
            <w:r>
              <w:rPr>
                <w:color w:val="000000"/>
              </w:rPr>
              <w:t xml:space="preserve">[3290- 3478 </w:t>
            </w:r>
            <w:r>
              <w:rPr>
                <w:color w:val="000000"/>
                <w:lang w:val="en-US"/>
              </w:rPr>
              <w:t>H</w:t>
            </w:r>
            <w:r>
              <w:rPr>
                <w:color w:val="000000"/>
              </w:rPr>
              <w:t>z]</w:t>
            </w:r>
          </w:p>
        </w:tc>
        <w:tc>
          <w:tcPr>
            <w:tcW w:w="1383" w:type="dxa"/>
            <w:tcBorders/>
          </w:tcPr>
          <w:p>
            <w:pPr>
              <w:pStyle w:val="style0"/>
              <w:jc w:val="center"/>
              <w:rPr>
                <w:color w:val="000000"/>
              </w:rPr>
            </w:pPr>
            <w:r>
              <w:rPr>
                <w:color w:val="000000"/>
              </w:rPr>
              <w:t>10</w:t>
            </w:r>
            <w:r>
              <w:rPr>
                <w:color w:val="000000"/>
                <w:vertAlign w:val="superscript"/>
              </w:rPr>
              <w:t>η</w:t>
            </w:r>
            <w:r>
              <w:rPr>
                <w:color w:val="000000"/>
              </w:rPr>
              <w:t>-11</w:t>
            </w:r>
            <w:r>
              <w:rPr>
                <w:color w:val="000000"/>
                <w:vertAlign w:val="superscript"/>
              </w:rPr>
              <w:t>η</w:t>
            </w:r>
            <w:r>
              <w:rPr>
                <w:color w:val="000000"/>
              </w:rPr>
              <w:t xml:space="preserve"> [9505- 9550 </w:t>
            </w:r>
            <w:r>
              <w:rPr>
                <w:color w:val="000000"/>
                <w:lang w:val="en-US"/>
              </w:rPr>
              <w:t>Hz</w:t>
            </w:r>
            <w:r>
              <w:rPr>
                <w:color w:val="000000"/>
              </w:rPr>
              <w:t>]</w:t>
            </w:r>
          </w:p>
        </w:tc>
        <w:tc>
          <w:tcPr>
            <w:tcW w:w="1383" w:type="dxa"/>
            <w:tcBorders/>
          </w:tcPr>
          <w:p>
            <w:pPr>
              <w:pStyle w:val="style0"/>
              <w:jc w:val="center"/>
              <w:rPr>
                <w:color w:val="000000"/>
              </w:rPr>
            </w:pPr>
            <w:r>
              <w:rPr>
                <w:color w:val="000000"/>
              </w:rPr>
              <w:t>8</w:t>
            </w:r>
            <w:r>
              <w:rPr>
                <w:color w:val="000000"/>
                <w:vertAlign w:val="superscript"/>
              </w:rPr>
              <w:t>η</w:t>
            </w:r>
            <w:r>
              <w:rPr>
                <w:color w:val="000000"/>
              </w:rPr>
              <w:t>-9</w:t>
            </w:r>
            <w:r>
              <w:rPr>
                <w:color w:val="000000"/>
                <w:vertAlign w:val="superscript"/>
              </w:rPr>
              <w:t>η</w:t>
            </w:r>
            <w:r>
              <w:rPr>
                <w:color w:val="000000"/>
              </w:rPr>
              <w:t xml:space="preserve"> </w:t>
            </w:r>
          </w:p>
          <w:p>
            <w:pPr>
              <w:pStyle w:val="style0"/>
              <w:jc w:val="center"/>
              <w:rPr>
                <w:color w:val="000000"/>
              </w:rPr>
            </w:pPr>
            <w:r>
              <w:rPr>
                <w:color w:val="000000"/>
              </w:rPr>
              <w:t xml:space="preserve">[7911- 7947 </w:t>
            </w:r>
            <w:r>
              <w:rPr>
                <w:color w:val="000000"/>
                <w:lang w:val="en-US"/>
              </w:rPr>
              <w:t>Hz</w:t>
            </w:r>
            <w:r>
              <w:rPr>
                <w:color w:val="000000"/>
              </w:rPr>
              <w:t>]</w:t>
            </w:r>
          </w:p>
        </w:tc>
        <w:tc>
          <w:tcPr>
            <w:tcW w:w="1383" w:type="dxa"/>
            <w:tcBorders/>
          </w:tcPr>
          <w:p>
            <w:pPr>
              <w:pStyle w:val="style0"/>
              <w:jc w:val="center"/>
              <w:rPr>
                <w:color w:val="000000"/>
                <w:vertAlign w:val="superscript"/>
              </w:rPr>
            </w:pPr>
            <w:r>
              <w:rPr>
                <w:color w:val="000000"/>
              </w:rPr>
              <w:t>8</w:t>
            </w:r>
            <w:r>
              <w:rPr>
                <w:color w:val="000000"/>
                <w:vertAlign w:val="superscript"/>
              </w:rPr>
              <w:t>η</w:t>
            </w:r>
            <w:r>
              <w:rPr>
                <w:color w:val="000000"/>
              </w:rPr>
              <w:t>-9</w:t>
            </w:r>
            <w:r>
              <w:rPr>
                <w:color w:val="000000"/>
                <w:vertAlign w:val="superscript"/>
              </w:rPr>
              <w:t xml:space="preserve">η </w:t>
            </w:r>
          </w:p>
          <w:p>
            <w:pPr>
              <w:pStyle w:val="style0"/>
              <w:jc w:val="center"/>
              <w:rPr>
                <w:color w:val="000000"/>
              </w:rPr>
            </w:pPr>
            <w:r>
              <w:rPr>
                <w:color w:val="000000"/>
              </w:rPr>
              <w:t xml:space="preserve">[6363-7753 </w:t>
            </w:r>
            <w:r>
              <w:rPr>
                <w:color w:val="000000"/>
                <w:lang w:val="en-US"/>
              </w:rPr>
              <w:t>Hz</w:t>
            </w:r>
            <w:r>
              <w:rPr>
                <w:color w:val="000000"/>
              </w:rPr>
              <w:t>]</w:t>
            </w:r>
          </w:p>
        </w:tc>
      </w:tr>
      <w:tr>
        <w:tblPrEx/>
        <w:trPr/>
        <w:tc>
          <w:tcPr>
            <w:tcW w:w="1382" w:type="dxa"/>
            <w:tcBorders/>
          </w:tcPr>
          <w:p>
            <w:pPr>
              <w:pStyle w:val="style0"/>
              <w:jc w:val="center"/>
              <w:rPr>
                <w:color w:val="000000"/>
              </w:rPr>
            </w:pPr>
            <w:r>
              <w:rPr>
                <w:color w:val="000000"/>
              </w:rPr>
              <w:t>3</w:t>
            </w:r>
            <w:r>
              <w:rPr>
                <w:color w:val="000000"/>
                <w:vertAlign w:val="superscript"/>
              </w:rPr>
              <w:t>ο</w:t>
            </w:r>
            <w:r>
              <w:rPr>
                <w:color w:val="000000"/>
              </w:rPr>
              <w:t xml:space="preserve"> </w:t>
            </w:r>
            <w:r>
              <w:rPr>
                <w:color w:val="000000"/>
                <w:lang w:val="en-US"/>
              </w:rPr>
              <w:t>band gap</w:t>
            </w:r>
          </w:p>
        </w:tc>
        <w:tc>
          <w:tcPr>
            <w:tcW w:w="1382" w:type="dxa"/>
            <w:tcBorders/>
          </w:tcPr>
          <w:p>
            <w:pPr>
              <w:pStyle w:val="style0"/>
              <w:jc w:val="center"/>
              <w:rPr>
                <w:color w:val="000000"/>
                <w:vertAlign w:val="superscript"/>
              </w:rPr>
            </w:pPr>
            <w:r>
              <w:rPr>
                <w:color w:val="000000"/>
              </w:rPr>
              <w:t>10</w:t>
            </w:r>
            <w:r>
              <w:rPr>
                <w:color w:val="000000"/>
                <w:vertAlign w:val="superscript"/>
              </w:rPr>
              <w:t>η</w:t>
            </w:r>
            <w:r>
              <w:rPr>
                <w:color w:val="000000"/>
              </w:rPr>
              <w:t>-11</w:t>
            </w:r>
            <w:r>
              <w:rPr>
                <w:color w:val="000000"/>
                <w:vertAlign w:val="superscript"/>
              </w:rPr>
              <w:t>η</w:t>
            </w:r>
          </w:p>
          <w:p>
            <w:pPr>
              <w:pStyle w:val="style0"/>
              <w:jc w:val="center"/>
              <w:rPr>
                <w:color w:val="000000"/>
              </w:rPr>
            </w:pPr>
            <w:r>
              <w:rPr>
                <w:color w:val="000000"/>
              </w:rPr>
              <w:t xml:space="preserve">[12275- 12326 </w:t>
            </w:r>
            <w:r>
              <w:rPr>
                <w:color w:val="000000"/>
                <w:lang w:val="en-US"/>
              </w:rPr>
              <w:t>Hz</w:t>
            </w:r>
            <w:r>
              <w:rPr>
                <w:color w:val="000000"/>
              </w:rPr>
              <w:t>]</w:t>
            </w:r>
          </w:p>
        </w:tc>
        <w:tc>
          <w:tcPr>
            <w:tcW w:w="1383" w:type="dxa"/>
            <w:tcBorders/>
          </w:tcPr>
          <w:p>
            <w:pPr>
              <w:pStyle w:val="style0"/>
              <w:jc w:val="center"/>
              <w:rPr>
                <w:color w:val="000000"/>
                <w:vertAlign w:val="superscript"/>
              </w:rPr>
            </w:pPr>
            <w:r>
              <w:rPr>
                <w:color w:val="000000"/>
              </w:rPr>
              <w:t>9</w:t>
            </w:r>
            <w:r>
              <w:rPr>
                <w:color w:val="000000"/>
                <w:vertAlign w:val="superscript"/>
              </w:rPr>
              <w:t>η</w:t>
            </w:r>
            <w:r>
              <w:rPr>
                <w:color w:val="000000"/>
              </w:rPr>
              <w:t>-10</w:t>
            </w:r>
            <w:r>
              <w:rPr>
                <w:color w:val="000000"/>
                <w:vertAlign w:val="superscript"/>
              </w:rPr>
              <w:t>η</w:t>
            </w:r>
          </w:p>
          <w:p>
            <w:pPr>
              <w:pStyle w:val="style0"/>
              <w:jc w:val="center"/>
              <w:rPr>
                <w:color w:val="000000"/>
                <w:vertAlign w:val="superscript"/>
              </w:rPr>
            </w:pPr>
            <w:r>
              <w:rPr>
                <w:color w:val="000000"/>
              </w:rPr>
              <w:t xml:space="preserve">[9750- 9793 </w:t>
            </w:r>
            <w:r>
              <w:rPr>
                <w:color w:val="000000"/>
                <w:lang w:val="en-US"/>
              </w:rPr>
              <w:t>Hz</w:t>
            </w:r>
            <w:r>
              <w:rPr>
                <w:color w:val="000000"/>
              </w:rPr>
              <w:t>]</w:t>
            </w:r>
          </w:p>
        </w:tc>
        <w:tc>
          <w:tcPr>
            <w:tcW w:w="1383" w:type="dxa"/>
            <w:tcBorders/>
          </w:tcPr>
          <w:p>
            <w:pPr>
              <w:pStyle w:val="style0"/>
              <w:jc w:val="center"/>
              <w:rPr>
                <w:color w:val="000000"/>
                <w:sz w:val="24"/>
                <w:szCs w:val="24"/>
              </w:rPr>
            </w:pPr>
            <w:r>
              <w:rPr>
                <w:color w:val="000000"/>
              </w:rPr>
              <w:t>11</w:t>
            </w:r>
            <w:r>
              <w:rPr>
                <w:color w:val="000000"/>
                <w:vertAlign w:val="superscript"/>
              </w:rPr>
              <w:t>η</w:t>
            </w:r>
            <w:r>
              <w:rPr>
                <w:color w:val="000000"/>
              </w:rPr>
              <w:t>-12</w:t>
            </w:r>
            <w:r>
              <w:rPr>
                <w:color w:val="000000"/>
                <w:vertAlign w:val="superscript"/>
              </w:rPr>
              <w:t>η</w:t>
            </w:r>
            <w:r>
              <w:rPr>
                <w:color w:val="000000"/>
              </w:rPr>
              <w:t xml:space="preserve"> [10025- 10494 </w:t>
            </w:r>
            <w:r>
              <w:rPr>
                <w:color w:val="000000"/>
                <w:lang w:val="en-US"/>
              </w:rPr>
              <w:t>Hz</w:t>
            </w:r>
            <w:r>
              <w:rPr>
                <w:color w:val="000000"/>
                <w:sz w:val="24"/>
                <w:szCs w:val="24"/>
              </w:rPr>
              <w:t>]</w:t>
            </w:r>
          </w:p>
        </w:tc>
        <w:tc>
          <w:tcPr>
            <w:tcW w:w="1383" w:type="dxa"/>
            <w:tcBorders/>
          </w:tcPr>
          <w:p>
            <w:pPr>
              <w:pStyle w:val="style0"/>
              <w:jc w:val="center"/>
              <w:rPr>
                <w:color w:val="000000"/>
              </w:rPr>
            </w:pPr>
            <w:r>
              <w:rPr>
                <w:color w:val="000000"/>
              </w:rPr>
              <w:t>13</w:t>
            </w:r>
            <w:r>
              <w:rPr>
                <w:color w:val="000000"/>
                <w:vertAlign w:val="superscript"/>
              </w:rPr>
              <w:t>η</w:t>
            </w:r>
            <w:r>
              <w:rPr>
                <w:color w:val="000000"/>
              </w:rPr>
              <w:t>-14</w:t>
            </w:r>
            <w:r>
              <w:rPr>
                <w:color w:val="000000"/>
                <w:vertAlign w:val="superscript"/>
              </w:rPr>
              <w:t>η</w:t>
            </w:r>
            <w:r>
              <w:rPr>
                <w:color w:val="000000"/>
              </w:rPr>
              <w:t xml:space="preserve"> [9740- 11820 </w:t>
            </w:r>
            <w:r>
              <w:rPr>
                <w:color w:val="000000"/>
                <w:lang w:val="en-US"/>
              </w:rPr>
              <w:t>Hz</w:t>
            </w:r>
            <w:r>
              <w:rPr>
                <w:color w:val="000000"/>
              </w:rPr>
              <w:t>]</w:t>
            </w:r>
          </w:p>
        </w:tc>
        <w:tc>
          <w:tcPr>
            <w:tcW w:w="1383" w:type="dxa"/>
            <w:tcBorders/>
          </w:tcPr>
          <w:p>
            <w:pPr>
              <w:pStyle w:val="style0"/>
              <w:jc w:val="center"/>
              <w:rPr>
                <w:color w:val="000000"/>
              </w:rPr>
            </w:pPr>
            <w:r>
              <w:rPr>
                <w:color w:val="000000"/>
              </w:rPr>
              <w:t>13</w:t>
            </w:r>
            <w:r>
              <w:rPr>
                <w:color w:val="000000"/>
                <w:vertAlign w:val="superscript"/>
              </w:rPr>
              <w:t>η</w:t>
            </w:r>
            <w:r>
              <w:rPr>
                <w:color w:val="000000"/>
              </w:rPr>
              <w:t>-14</w:t>
            </w:r>
            <w:r>
              <w:rPr>
                <w:color w:val="000000"/>
                <w:vertAlign w:val="superscript"/>
              </w:rPr>
              <w:t xml:space="preserve">η </w:t>
            </w:r>
            <w:r>
              <w:rPr>
                <w:color w:val="000000"/>
              </w:rPr>
              <w:t xml:space="preserve">[9362-10760 </w:t>
            </w:r>
            <w:r>
              <w:rPr>
                <w:color w:val="000000"/>
                <w:lang w:val="en-US"/>
              </w:rPr>
              <w:t>Hz</w:t>
            </w:r>
            <w:r>
              <w:rPr>
                <w:color w:val="000000"/>
              </w:rPr>
              <w:t>]</w:t>
            </w:r>
          </w:p>
        </w:tc>
      </w:tr>
      <w:tr>
        <w:tblPrEx/>
        <w:trPr/>
        <w:tc>
          <w:tcPr>
            <w:tcW w:w="1382" w:type="dxa"/>
            <w:tcBorders/>
          </w:tcPr>
          <w:p>
            <w:pPr>
              <w:pStyle w:val="style0"/>
              <w:jc w:val="center"/>
              <w:rPr>
                <w:color w:val="000000"/>
              </w:rPr>
            </w:pPr>
            <w:r>
              <w:rPr>
                <w:color w:val="000000"/>
              </w:rPr>
              <w:t>4</w:t>
            </w:r>
            <w:r>
              <w:rPr>
                <w:color w:val="000000"/>
                <w:vertAlign w:val="superscript"/>
              </w:rPr>
              <w:t>ο</w:t>
            </w:r>
            <w:r>
              <w:rPr>
                <w:color w:val="000000"/>
              </w:rPr>
              <w:t xml:space="preserve"> </w:t>
            </w:r>
            <w:r>
              <w:rPr>
                <w:color w:val="000000"/>
                <w:lang w:val="en-US"/>
              </w:rPr>
              <w:t>band gap</w:t>
            </w:r>
          </w:p>
        </w:tc>
        <w:tc>
          <w:tcPr>
            <w:tcW w:w="1382" w:type="dxa"/>
            <w:tcBorders/>
          </w:tcPr>
          <w:p>
            <w:pPr>
              <w:pStyle w:val="style0"/>
              <w:jc w:val="center"/>
              <w:rPr>
                <w:color w:val="000000"/>
                <w:vertAlign w:val="superscript"/>
              </w:rPr>
            </w:pPr>
            <w:r>
              <w:rPr>
                <w:color w:val="000000"/>
              </w:rPr>
              <w:t>11</w:t>
            </w:r>
            <w:r>
              <w:rPr>
                <w:color w:val="000000"/>
                <w:vertAlign w:val="superscript"/>
              </w:rPr>
              <w:t>η</w:t>
            </w:r>
            <w:r>
              <w:rPr>
                <w:color w:val="000000"/>
              </w:rPr>
              <w:t>-12</w:t>
            </w:r>
            <w:r>
              <w:rPr>
                <w:color w:val="000000"/>
                <w:vertAlign w:val="superscript"/>
              </w:rPr>
              <w:t>η</w:t>
            </w:r>
          </w:p>
          <w:p>
            <w:pPr>
              <w:pStyle w:val="style0"/>
              <w:jc w:val="center"/>
              <w:rPr>
                <w:color w:val="000000"/>
              </w:rPr>
            </w:pPr>
            <w:r>
              <w:rPr>
                <w:color w:val="000000"/>
              </w:rPr>
              <w:t xml:space="preserve">[12955- 13425 </w:t>
            </w:r>
            <w:r>
              <w:rPr>
                <w:color w:val="000000"/>
                <w:lang w:val="en-US"/>
              </w:rPr>
              <w:t>Hz</w:t>
            </w:r>
            <w:r>
              <w:rPr>
                <w:color w:val="000000"/>
              </w:rPr>
              <w:t>]</w:t>
            </w:r>
          </w:p>
        </w:tc>
        <w:tc>
          <w:tcPr>
            <w:tcW w:w="1383" w:type="dxa"/>
            <w:tcBorders/>
          </w:tcPr>
          <w:p>
            <w:pPr>
              <w:pStyle w:val="style0"/>
              <w:jc w:val="center"/>
              <w:rPr>
                <w:color w:val="000000"/>
                <w:vertAlign w:val="superscript"/>
              </w:rPr>
            </w:pPr>
            <w:r>
              <w:rPr>
                <w:color w:val="000000"/>
              </w:rPr>
              <w:t>10</w:t>
            </w:r>
            <w:r>
              <w:rPr>
                <w:color w:val="000000"/>
                <w:vertAlign w:val="superscript"/>
              </w:rPr>
              <w:t>η</w:t>
            </w:r>
            <w:r>
              <w:rPr>
                <w:color w:val="000000"/>
              </w:rPr>
              <w:t>-11</w:t>
            </w:r>
            <w:r>
              <w:rPr>
                <w:color w:val="000000"/>
                <w:vertAlign w:val="superscript"/>
              </w:rPr>
              <w:t>η</w:t>
            </w:r>
          </w:p>
          <w:p>
            <w:pPr>
              <w:pStyle w:val="style0"/>
              <w:jc w:val="center"/>
              <w:rPr>
                <w:color w:val="000000"/>
              </w:rPr>
            </w:pPr>
            <w:r>
              <w:rPr>
                <w:color w:val="000000"/>
              </w:rPr>
              <w:t xml:space="preserve">[10320- 10722 </w:t>
            </w:r>
            <w:r>
              <w:rPr>
                <w:color w:val="000000"/>
                <w:lang w:val="en-US"/>
              </w:rPr>
              <w:t>Hz</w:t>
            </w:r>
            <w:r>
              <w:rPr>
                <w:color w:val="000000"/>
              </w:rPr>
              <w:t>]</w:t>
            </w:r>
          </w:p>
        </w:tc>
        <w:tc>
          <w:tcPr>
            <w:tcW w:w="1383" w:type="dxa"/>
            <w:tcBorders/>
          </w:tcPr>
          <w:p>
            <w:pPr>
              <w:pStyle w:val="style0"/>
              <w:jc w:val="center"/>
              <w:rPr>
                <w:color w:val="000000"/>
              </w:rPr>
            </w:pPr>
            <w:r>
              <w:rPr>
                <w:color w:val="000000"/>
              </w:rPr>
              <w:t>13</w:t>
            </w:r>
            <w:r>
              <w:rPr>
                <w:color w:val="000000"/>
                <w:vertAlign w:val="superscript"/>
              </w:rPr>
              <w:t>η</w:t>
            </w:r>
            <w:r>
              <w:rPr>
                <w:color w:val="000000"/>
              </w:rPr>
              <w:t>-14</w:t>
            </w:r>
            <w:r>
              <w:rPr>
                <w:color w:val="000000"/>
                <w:vertAlign w:val="superscript"/>
              </w:rPr>
              <w:t>η</w:t>
            </w:r>
            <w:r>
              <w:rPr>
                <w:color w:val="000000"/>
              </w:rPr>
              <w:t xml:space="preserve"> [10690- 13111 </w:t>
            </w:r>
            <w:r>
              <w:rPr>
                <w:color w:val="000000"/>
                <w:lang w:val="en-US"/>
              </w:rPr>
              <w:t>Hz</w:t>
            </w:r>
            <w:r>
              <w:rPr>
                <w:color w:val="000000"/>
              </w:rPr>
              <w:t>]</w:t>
            </w:r>
          </w:p>
        </w:tc>
        <w:tc>
          <w:tcPr>
            <w:tcW w:w="1383" w:type="dxa"/>
            <w:tcBorders/>
          </w:tcPr>
          <w:p>
            <w:pPr>
              <w:pStyle w:val="style0"/>
              <w:jc w:val="center"/>
              <w:rPr>
                <w:color w:val="000000"/>
              </w:rPr>
            </w:pPr>
            <w:r>
              <w:rPr>
                <w:color w:val="000000"/>
              </w:rPr>
              <w:t>14</w:t>
            </w:r>
            <w:r>
              <w:rPr>
                <w:color w:val="000000"/>
                <w:vertAlign w:val="superscript"/>
              </w:rPr>
              <w:t>η</w:t>
            </w:r>
            <w:r>
              <w:rPr>
                <w:color w:val="000000"/>
              </w:rPr>
              <w:t>-15</w:t>
            </w:r>
            <w:r>
              <w:rPr>
                <w:color w:val="000000"/>
                <w:vertAlign w:val="superscript"/>
              </w:rPr>
              <w:t>η</w:t>
            </w:r>
            <w:r>
              <w:rPr>
                <w:color w:val="000000"/>
              </w:rPr>
              <w:t xml:space="preserve"> [12084- 12275 </w:t>
            </w:r>
            <w:r>
              <w:rPr>
                <w:color w:val="000000"/>
                <w:lang w:val="en-US"/>
              </w:rPr>
              <w:t>Hz</w:t>
            </w:r>
            <w:r>
              <w:rPr>
                <w:color w:val="000000"/>
              </w:rPr>
              <w:t>]</w:t>
            </w:r>
          </w:p>
        </w:tc>
        <w:tc>
          <w:tcPr>
            <w:tcW w:w="1383" w:type="dxa"/>
            <w:tcBorders/>
          </w:tcPr>
          <w:p>
            <w:pPr>
              <w:pStyle w:val="style0"/>
              <w:jc w:val="center"/>
              <w:rPr>
                <w:color w:val="000000"/>
              </w:rPr>
            </w:pPr>
            <w:r>
              <w:rPr>
                <w:color w:val="000000"/>
              </w:rPr>
              <w:t>14</w:t>
            </w:r>
            <w:r>
              <w:rPr>
                <w:color w:val="000000"/>
                <w:vertAlign w:val="superscript"/>
              </w:rPr>
              <w:t>η</w:t>
            </w:r>
            <w:r>
              <w:rPr>
                <w:color w:val="000000"/>
              </w:rPr>
              <w:t>-15</w:t>
            </w:r>
            <w:r>
              <w:rPr>
                <w:color w:val="000000"/>
                <w:vertAlign w:val="superscript"/>
              </w:rPr>
              <w:t>η</w:t>
            </w:r>
            <w:r>
              <w:rPr>
                <w:color w:val="000000"/>
              </w:rPr>
              <w:t xml:space="preserve"> [11055-11182 </w:t>
            </w:r>
            <w:r>
              <w:rPr>
                <w:color w:val="000000"/>
                <w:lang w:val="en-US"/>
              </w:rPr>
              <w:t>Hz</w:t>
            </w:r>
            <w:r>
              <w:rPr>
                <w:color w:val="000000"/>
              </w:rPr>
              <w:t>]</w:t>
            </w:r>
          </w:p>
        </w:tc>
      </w:tr>
      <w:tr>
        <w:tblPrEx/>
        <w:trPr/>
        <w:tc>
          <w:tcPr>
            <w:tcW w:w="1382" w:type="dxa"/>
            <w:tcBorders/>
          </w:tcPr>
          <w:p>
            <w:pPr>
              <w:pStyle w:val="style0"/>
              <w:jc w:val="center"/>
              <w:rPr>
                <w:color w:val="000000"/>
              </w:rPr>
            </w:pPr>
            <w:r>
              <w:rPr>
                <w:color w:val="000000"/>
              </w:rPr>
              <w:t>5</w:t>
            </w:r>
            <w:r>
              <w:rPr>
                <w:color w:val="000000"/>
                <w:vertAlign w:val="superscript"/>
              </w:rPr>
              <w:t xml:space="preserve">ο </w:t>
            </w:r>
            <w:r>
              <w:rPr>
                <w:color w:val="000000"/>
                <w:lang w:val="en-US"/>
              </w:rPr>
              <w:t>band gap</w:t>
            </w:r>
          </w:p>
        </w:tc>
        <w:tc>
          <w:tcPr>
            <w:tcW w:w="1382" w:type="dxa"/>
            <w:tcBorders/>
          </w:tcPr>
          <w:p>
            <w:pPr>
              <w:pStyle w:val="style0"/>
              <w:jc w:val="center"/>
              <w:rPr>
                <w:color w:val="000000"/>
                <w:vertAlign w:val="superscript"/>
              </w:rPr>
            </w:pPr>
            <w:r>
              <w:rPr>
                <w:color w:val="000000"/>
              </w:rPr>
              <w:t>13</w:t>
            </w:r>
            <w:r>
              <w:rPr>
                <w:color w:val="000000"/>
                <w:vertAlign w:val="superscript"/>
              </w:rPr>
              <w:t>η</w:t>
            </w:r>
            <w:r>
              <w:rPr>
                <w:color w:val="000000"/>
              </w:rPr>
              <w:t>-14</w:t>
            </w:r>
            <w:r>
              <w:rPr>
                <w:color w:val="000000"/>
                <w:vertAlign w:val="superscript"/>
              </w:rPr>
              <w:t>η</w:t>
            </w:r>
          </w:p>
          <w:p>
            <w:pPr>
              <w:pStyle w:val="style0"/>
              <w:jc w:val="center"/>
              <w:rPr>
                <w:color w:val="000000"/>
              </w:rPr>
            </w:pPr>
            <w:r>
              <w:rPr>
                <w:color w:val="000000"/>
              </w:rPr>
              <w:t xml:space="preserve">[13600- 15660 </w:t>
            </w:r>
            <w:r>
              <w:rPr>
                <w:color w:val="000000"/>
                <w:lang w:val="en-US"/>
              </w:rPr>
              <w:t>Hz</w:t>
            </w:r>
            <w:r>
              <w:rPr>
                <w:color w:val="000000"/>
              </w:rPr>
              <w:t>]</w:t>
            </w:r>
          </w:p>
        </w:tc>
        <w:tc>
          <w:tcPr>
            <w:tcW w:w="1383" w:type="dxa"/>
            <w:tcBorders/>
          </w:tcPr>
          <w:p>
            <w:pPr>
              <w:pStyle w:val="style0"/>
              <w:jc w:val="center"/>
              <w:rPr>
                <w:color w:val="000000"/>
                <w:vertAlign w:val="superscript"/>
              </w:rPr>
            </w:pPr>
            <w:r>
              <w:rPr>
                <w:color w:val="000000"/>
              </w:rPr>
              <w:t>11</w:t>
            </w:r>
            <w:r>
              <w:rPr>
                <w:color w:val="000000"/>
                <w:vertAlign w:val="superscript"/>
              </w:rPr>
              <w:t>η</w:t>
            </w:r>
            <w:r>
              <w:rPr>
                <w:color w:val="000000"/>
              </w:rPr>
              <w:t>-12</w:t>
            </w:r>
            <w:r>
              <w:rPr>
                <w:color w:val="000000"/>
                <w:vertAlign w:val="superscript"/>
              </w:rPr>
              <w:t>η</w:t>
            </w:r>
          </w:p>
          <w:p>
            <w:pPr>
              <w:pStyle w:val="style0"/>
              <w:jc w:val="center"/>
              <w:rPr>
                <w:color w:val="000000"/>
                <w:vertAlign w:val="superscript"/>
              </w:rPr>
            </w:pPr>
            <w:r>
              <w:rPr>
                <w:color w:val="000000"/>
              </w:rPr>
              <w:t xml:space="preserve">[10870- 11780 </w:t>
            </w:r>
            <w:r>
              <w:rPr>
                <w:color w:val="000000"/>
                <w:lang w:val="en-US"/>
              </w:rPr>
              <w:t>Hz</w:t>
            </w:r>
            <w:r>
              <w:rPr>
                <w:color w:val="000000"/>
              </w:rPr>
              <w:t>]</w:t>
            </w:r>
          </w:p>
          <w:p>
            <w:pPr>
              <w:pStyle w:val="style0"/>
              <w:jc w:val="center"/>
              <w:rPr>
                <w:color w:val="000000"/>
              </w:rPr>
            </w:pPr>
          </w:p>
        </w:tc>
        <w:tc>
          <w:tcPr>
            <w:tcW w:w="1383" w:type="dxa"/>
            <w:tcBorders/>
          </w:tcPr>
          <w:p>
            <w:pPr>
              <w:pStyle w:val="style0"/>
              <w:jc w:val="center"/>
              <w:rPr>
                <w:color w:val="000000"/>
              </w:rPr>
            </w:pPr>
            <w:r>
              <w:rPr>
                <w:color w:val="000000"/>
              </w:rPr>
              <w:t>14</w:t>
            </w:r>
            <w:r>
              <w:rPr>
                <w:color w:val="000000"/>
                <w:vertAlign w:val="superscript"/>
              </w:rPr>
              <w:t>η</w:t>
            </w:r>
            <w:r>
              <w:rPr>
                <w:color w:val="000000"/>
              </w:rPr>
              <w:t>-15</w:t>
            </w:r>
            <w:r>
              <w:rPr>
                <w:color w:val="000000"/>
                <w:vertAlign w:val="superscript"/>
              </w:rPr>
              <w:t>η</w:t>
            </w:r>
            <w:r>
              <w:rPr>
                <w:color w:val="000000"/>
              </w:rPr>
              <w:t xml:space="preserve"> [13346- 13576 </w:t>
            </w:r>
            <w:r>
              <w:rPr>
                <w:color w:val="000000"/>
                <w:lang w:val="en-US"/>
              </w:rPr>
              <w:t>Hz</w:t>
            </w:r>
            <w:r>
              <w:rPr>
                <w:color w:val="000000"/>
              </w:rPr>
              <w:t>]</w:t>
            </w:r>
          </w:p>
        </w:tc>
        <w:tc>
          <w:tcPr>
            <w:tcW w:w="1383" w:type="dxa"/>
            <w:tcBorders/>
          </w:tcPr>
          <w:p>
            <w:pPr>
              <w:pStyle w:val="style0"/>
              <w:jc w:val="center"/>
              <w:rPr>
                <w:color w:val="000000"/>
              </w:rPr>
            </w:pPr>
            <w:r>
              <w:rPr>
                <w:color w:val="000000"/>
              </w:rPr>
              <w:t>15</w:t>
            </w:r>
            <w:r>
              <w:rPr>
                <w:color w:val="000000"/>
                <w:vertAlign w:val="superscript"/>
              </w:rPr>
              <w:t>η</w:t>
            </w:r>
            <w:r>
              <w:rPr>
                <w:color w:val="000000"/>
              </w:rPr>
              <w:t>-16</w:t>
            </w:r>
            <w:r>
              <w:rPr>
                <w:color w:val="000000"/>
                <w:vertAlign w:val="superscript"/>
              </w:rPr>
              <w:t>η</w:t>
            </w:r>
            <w:r>
              <w:rPr>
                <w:color w:val="000000"/>
              </w:rPr>
              <w:t xml:space="preserve"> [12345-13200 </w:t>
            </w:r>
            <w:r>
              <w:rPr>
                <w:color w:val="000000"/>
                <w:lang w:val="en-US"/>
              </w:rPr>
              <w:t>Hz</w:t>
            </w:r>
            <w:r>
              <w:rPr>
                <w:color w:val="000000"/>
              </w:rPr>
              <w:t>]</w:t>
            </w:r>
          </w:p>
        </w:tc>
        <w:tc>
          <w:tcPr>
            <w:tcW w:w="1383" w:type="dxa"/>
            <w:tcBorders/>
          </w:tcPr>
          <w:p>
            <w:pPr>
              <w:pStyle w:val="style0"/>
              <w:jc w:val="center"/>
              <w:rPr>
                <w:color w:val="000000"/>
              </w:rPr>
            </w:pPr>
            <w:r>
              <w:rPr>
                <w:color w:val="000000"/>
              </w:rPr>
              <w:t>15</w:t>
            </w:r>
            <w:r>
              <w:rPr>
                <w:color w:val="000000"/>
                <w:vertAlign w:val="superscript"/>
              </w:rPr>
              <w:t>η</w:t>
            </w:r>
            <w:r>
              <w:rPr>
                <w:color w:val="000000"/>
              </w:rPr>
              <w:t>-16</w:t>
            </w:r>
            <w:r>
              <w:rPr>
                <w:color w:val="000000"/>
                <w:vertAlign w:val="superscript"/>
              </w:rPr>
              <w:t>η</w:t>
            </w:r>
            <w:r>
              <w:rPr>
                <w:color w:val="000000"/>
              </w:rPr>
              <w:t xml:space="preserve"> [11285-11926 </w:t>
            </w:r>
            <w:r>
              <w:rPr>
                <w:color w:val="000000"/>
                <w:lang w:val="en-US"/>
              </w:rPr>
              <w:t>Hz</w:t>
            </w:r>
            <w:r>
              <w:rPr>
                <w:color w:val="000000"/>
              </w:rPr>
              <w:t>]</w:t>
            </w:r>
          </w:p>
        </w:tc>
      </w:tr>
      <w:tr>
        <w:tblPrEx/>
        <w:trPr/>
        <w:tc>
          <w:tcPr>
            <w:tcW w:w="1382" w:type="dxa"/>
            <w:tcBorders/>
          </w:tcPr>
          <w:p>
            <w:pPr>
              <w:pStyle w:val="style0"/>
              <w:jc w:val="center"/>
              <w:rPr>
                <w:color w:val="000000"/>
              </w:rPr>
            </w:pPr>
            <w:r>
              <w:rPr>
                <w:color w:val="000000"/>
              </w:rPr>
              <w:t>6</w:t>
            </w:r>
            <w:r>
              <w:rPr>
                <w:color w:val="000000"/>
                <w:vertAlign w:val="superscript"/>
              </w:rPr>
              <w:t>ο</w:t>
            </w:r>
            <w:r>
              <w:rPr>
                <w:color w:val="000000"/>
              </w:rPr>
              <w:t xml:space="preserve"> </w:t>
            </w:r>
            <w:r>
              <w:rPr>
                <w:color w:val="000000"/>
                <w:lang w:val="en-US"/>
              </w:rPr>
              <w:t>band gap</w:t>
            </w:r>
          </w:p>
        </w:tc>
        <w:tc>
          <w:tcPr>
            <w:tcW w:w="1382" w:type="dxa"/>
            <w:tcBorders/>
          </w:tcPr>
          <w:p>
            <w:pPr>
              <w:pStyle w:val="style0"/>
              <w:jc w:val="center"/>
              <w:rPr>
                <w:color w:val="000000"/>
                <w:vertAlign w:val="superscript"/>
              </w:rPr>
            </w:pPr>
            <w:r>
              <w:rPr>
                <w:color w:val="000000"/>
              </w:rPr>
              <w:t>19</w:t>
            </w:r>
            <w:r>
              <w:rPr>
                <w:color w:val="000000"/>
                <w:vertAlign w:val="superscript"/>
              </w:rPr>
              <w:t>η</w:t>
            </w:r>
            <w:r>
              <w:rPr>
                <w:color w:val="000000"/>
              </w:rPr>
              <w:t>-20</w:t>
            </w:r>
            <w:r>
              <w:rPr>
                <w:color w:val="000000"/>
                <w:vertAlign w:val="superscript"/>
              </w:rPr>
              <w:t>η</w:t>
            </w:r>
          </w:p>
          <w:p>
            <w:pPr>
              <w:pStyle w:val="style0"/>
              <w:jc w:val="center"/>
              <w:rPr>
                <w:color w:val="000000"/>
              </w:rPr>
            </w:pPr>
            <w:r>
              <w:rPr>
                <w:color w:val="000000"/>
              </w:rPr>
              <w:t xml:space="preserve">[19630- 20270 </w:t>
            </w:r>
            <w:r>
              <w:rPr>
                <w:color w:val="000000"/>
                <w:lang w:val="en-US"/>
              </w:rPr>
              <w:t>Hz</w:t>
            </w:r>
            <w:r>
              <w:rPr>
                <w:color w:val="000000"/>
              </w:rPr>
              <w:t>]</w:t>
            </w:r>
          </w:p>
        </w:tc>
        <w:tc>
          <w:tcPr>
            <w:tcW w:w="1383" w:type="dxa"/>
            <w:tcBorders/>
          </w:tcPr>
          <w:p>
            <w:pPr>
              <w:pStyle w:val="style0"/>
              <w:jc w:val="center"/>
              <w:rPr>
                <w:color w:val="000000"/>
                <w:vertAlign w:val="superscript"/>
              </w:rPr>
            </w:pPr>
            <w:r>
              <w:rPr>
                <w:color w:val="000000"/>
              </w:rPr>
              <w:t>13</w:t>
            </w:r>
            <w:r>
              <w:rPr>
                <w:color w:val="000000"/>
                <w:vertAlign w:val="superscript"/>
              </w:rPr>
              <w:t>η</w:t>
            </w:r>
            <w:r>
              <w:rPr>
                <w:color w:val="000000"/>
              </w:rPr>
              <w:t>-14</w:t>
            </w:r>
            <w:r>
              <w:rPr>
                <w:color w:val="000000"/>
                <w:vertAlign w:val="superscript"/>
              </w:rPr>
              <w:t>η</w:t>
            </w:r>
          </w:p>
          <w:p>
            <w:pPr>
              <w:pStyle w:val="style0"/>
              <w:jc w:val="center"/>
              <w:rPr>
                <w:color w:val="000000"/>
              </w:rPr>
            </w:pPr>
            <w:r>
              <w:rPr>
                <w:color w:val="000000"/>
              </w:rPr>
              <w:t xml:space="preserve">[11972- 14717 </w:t>
            </w:r>
            <w:r>
              <w:rPr>
                <w:color w:val="000000"/>
                <w:lang w:val="en-US"/>
              </w:rPr>
              <w:t>Hz</w:t>
            </w:r>
            <w:r>
              <w:rPr>
                <w:color w:val="000000"/>
              </w:rPr>
              <w:t>]</w:t>
            </w:r>
          </w:p>
        </w:tc>
        <w:tc>
          <w:tcPr>
            <w:tcW w:w="1383" w:type="dxa"/>
            <w:tcBorders/>
          </w:tcPr>
          <w:p>
            <w:pPr>
              <w:pStyle w:val="style0"/>
              <w:jc w:val="center"/>
              <w:rPr>
                <w:color w:val="000000"/>
              </w:rPr>
            </w:pPr>
            <w:r>
              <w:rPr>
                <w:color w:val="000000"/>
              </w:rPr>
              <w:t>15</w:t>
            </w:r>
            <w:r>
              <w:rPr>
                <w:color w:val="000000"/>
                <w:vertAlign w:val="superscript"/>
              </w:rPr>
              <w:t>η</w:t>
            </w:r>
            <w:r>
              <w:rPr>
                <w:color w:val="000000"/>
              </w:rPr>
              <w:t>-16</w:t>
            </w:r>
            <w:r>
              <w:rPr>
                <w:color w:val="000000"/>
                <w:vertAlign w:val="superscript"/>
              </w:rPr>
              <w:t xml:space="preserve">η </w:t>
            </w:r>
            <w:r>
              <w:rPr>
                <w:color w:val="000000"/>
              </w:rPr>
              <w:t xml:space="preserve">[13690- 14525 </w:t>
            </w:r>
            <w:r>
              <w:rPr>
                <w:color w:val="000000"/>
                <w:lang w:val="en-US"/>
              </w:rPr>
              <w:t>Hz</w:t>
            </w:r>
            <w:r>
              <w:rPr>
                <w:color w:val="000000"/>
              </w:rPr>
              <w:t>]</w:t>
            </w:r>
          </w:p>
        </w:tc>
        <w:tc>
          <w:tcPr>
            <w:tcW w:w="1383" w:type="dxa"/>
            <w:tcBorders/>
          </w:tcPr>
          <w:p>
            <w:pPr>
              <w:pStyle w:val="style0"/>
              <w:jc w:val="center"/>
              <w:rPr>
                <w:color w:val="000000"/>
              </w:rPr>
            </w:pPr>
            <w:r>
              <w:rPr>
                <w:color w:val="000000"/>
              </w:rPr>
              <w:t>17</w:t>
            </w:r>
            <w:r>
              <w:rPr>
                <w:color w:val="000000"/>
                <w:vertAlign w:val="superscript"/>
              </w:rPr>
              <w:t>η</w:t>
            </w:r>
            <w:r>
              <w:rPr>
                <w:color w:val="000000"/>
              </w:rPr>
              <w:t>-18</w:t>
            </w:r>
            <w:r>
              <w:rPr>
                <w:color w:val="000000"/>
                <w:vertAlign w:val="superscript"/>
              </w:rPr>
              <w:t>η</w:t>
            </w:r>
            <w:r>
              <w:rPr>
                <w:color w:val="000000"/>
              </w:rPr>
              <w:t xml:space="preserve"> [13465-14270 </w:t>
            </w:r>
            <w:r>
              <w:rPr>
                <w:color w:val="000000"/>
                <w:lang w:val="en-US"/>
              </w:rPr>
              <w:t>Hz</w:t>
            </w:r>
            <w:r>
              <w:rPr>
                <w:color w:val="000000"/>
              </w:rPr>
              <w:t>]</w:t>
            </w:r>
          </w:p>
        </w:tc>
        <w:tc>
          <w:tcPr>
            <w:tcW w:w="1383" w:type="dxa"/>
            <w:tcBorders/>
          </w:tcPr>
          <w:p>
            <w:pPr>
              <w:pStyle w:val="style0"/>
              <w:jc w:val="center"/>
              <w:rPr>
                <w:color w:val="000000"/>
              </w:rPr>
            </w:pPr>
            <w:r>
              <w:rPr>
                <w:color w:val="000000"/>
              </w:rPr>
              <w:t>17</w:t>
            </w:r>
            <w:r>
              <w:rPr>
                <w:color w:val="000000"/>
                <w:vertAlign w:val="superscript"/>
              </w:rPr>
              <w:t>η</w:t>
            </w:r>
            <w:r>
              <w:rPr>
                <w:color w:val="000000"/>
              </w:rPr>
              <w:t>-18</w:t>
            </w:r>
            <w:r>
              <w:rPr>
                <w:color w:val="000000"/>
                <w:vertAlign w:val="superscript"/>
              </w:rPr>
              <w:t xml:space="preserve">η </w:t>
            </w:r>
            <w:r>
              <w:rPr>
                <w:color w:val="000000"/>
              </w:rPr>
              <w:t xml:space="preserve">[12203-12990 </w:t>
            </w:r>
            <w:r>
              <w:rPr>
                <w:color w:val="000000"/>
                <w:lang w:val="en-US"/>
              </w:rPr>
              <w:t>Hz</w:t>
            </w:r>
            <w:r>
              <w:rPr>
                <w:color w:val="000000"/>
              </w:rPr>
              <w:t>]</w:t>
            </w:r>
          </w:p>
        </w:tc>
      </w:tr>
      <w:tr>
        <w:tblPrEx/>
        <w:trPr/>
        <w:tc>
          <w:tcPr>
            <w:tcW w:w="1382" w:type="dxa"/>
            <w:tcBorders/>
          </w:tcPr>
          <w:p>
            <w:pPr>
              <w:pStyle w:val="style0"/>
              <w:jc w:val="center"/>
              <w:rPr>
                <w:color w:val="000000"/>
              </w:rPr>
            </w:pPr>
            <w:r>
              <w:rPr>
                <w:color w:val="000000"/>
              </w:rPr>
              <w:t>7</w:t>
            </w:r>
            <w:r>
              <w:rPr>
                <w:color w:val="000000"/>
                <w:vertAlign w:val="superscript"/>
              </w:rPr>
              <w:t>ο</w:t>
            </w:r>
            <w:r>
              <w:rPr>
                <w:color w:val="000000"/>
              </w:rPr>
              <w:t xml:space="preserve"> </w:t>
            </w:r>
            <w:r>
              <w:rPr>
                <w:color w:val="000000"/>
                <w:lang w:val="en-US"/>
              </w:rPr>
              <w:t>band gap</w:t>
            </w:r>
          </w:p>
        </w:tc>
        <w:tc>
          <w:tcPr>
            <w:tcW w:w="1382" w:type="dxa"/>
            <w:tcBorders/>
          </w:tcPr>
          <w:p>
            <w:pPr>
              <w:pStyle w:val="style0"/>
              <w:jc w:val="center"/>
              <w:rPr>
                <w:color w:val="000000"/>
              </w:rPr>
            </w:pPr>
            <w:r>
              <w:rPr>
                <w:color w:val="000000"/>
              </w:rPr>
              <w:t>-</w:t>
            </w:r>
          </w:p>
        </w:tc>
        <w:tc>
          <w:tcPr>
            <w:tcW w:w="1383" w:type="dxa"/>
            <w:tcBorders/>
          </w:tcPr>
          <w:p>
            <w:pPr>
              <w:pStyle w:val="style0"/>
              <w:jc w:val="center"/>
              <w:rPr>
                <w:color w:val="000000"/>
                <w:vertAlign w:val="superscript"/>
              </w:rPr>
            </w:pPr>
            <w:r>
              <w:rPr>
                <w:color w:val="000000"/>
              </w:rPr>
              <w:t>14</w:t>
            </w:r>
            <w:r>
              <w:rPr>
                <w:color w:val="000000"/>
                <w:vertAlign w:val="superscript"/>
              </w:rPr>
              <w:t>η</w:t>
            </w:r>
            <w:r>
              <w:rPr>
                <w:color w:val="000000"/>
              </w:rPr>
              <w:t>-15</w:t>
            </w:r>
            <w:r>
              <w:rPr>
                <w:color w:val="000000"/>
                <w:vertAlign w:val="superscript"/>
              </w:rPr>
              <w:t>η</w:t>
            </w:r>
          </w:p>
          <w:p>
            <w:pPr>
              <w:pStyle w:val="style0"/>
              <w:jc w:val="center"/>
              <w:rPr>
                <w:color w:val="000000"/>
              </w:rPr>
            </w:pPr>
            <w:r>
              <w:rPr>
                <w:color w:val="000000"/>
              </w:rPr>
              <w:t xml:space="preserve">[14914- 15144 </w:t>
            </w:r>
            <w:r>
              <w:rPr>
                <w:color w:val="000000"/>
                <w:lang w:val="en-US"/>
              </w:rPr>
              <w:t>Hz</w:t>
            </w:r>
            <w:r>
              <w:rPr>
                <w:color w:val="000000"/>
              </w:rPr>
              <w:t>]</w:t>
            </w:r>
          </w:p>
        </w:tc>
        <w:tc>
          <w:tcPr>
            <w:tcW w:w="1383" w:type="dxa"/>
            <w:tcBorders/>
          </w:tcPr>
          <w:p>
            <w:pPr>
              <w:pStyle w:val="style0"/>
              <w:jc w:val="center"/>
              <w:rPr>
                <w:color w:val="000000"/>
              </w:rPr>
            </w:pPr>
            <w:r>
              <w:rPr>
                <w:color w:val="000000"/>
              </w:rPr>
              <w:t>17</w:t>
            </w:r>
            <w:r>
              <w:rPr>
                <w:color w:val="000000"/>
                <w:vertAlign w:val="superscript"/>
              </w:rPr>
              <w:t>η</w:t>
            </w:r>
            <w:r>
              <w:rPr>
                <w:color w:val="000000"/>
              </w:rPr>
              <w:t>-18</w:t>
            </w:r>
            <w:r>
              <w:rPr>
                <w:color w:val="000000"/>
                <w:vertAlign w:val="superscript"/>
              </w:rPr>
              <w:t>η</w:t>
            </w:r>
            <w:r>
              <w:rPr>
                <w:color w:val="000000"/>
              </w:rPr>
              <w:t xml:space="preserve"> [15000- 15390 </w:t>
            </w:r>
            <w:r>
              <w:rPr>
                <w:color w:val="000000"/>
                <w:lang w:val="en-US"/>
              </w:rPr>
              <w:t>Hz</w:t>
            </w:r>
            <w:r>
              <w:rPr>
                <w:color w:val="000000"/>
              </w:rPr>
              <w:t>]</w:t>
            </w:r>
          </w:p>
        </w:tc>
        <w:tc>
          <w:tcPr>
            <w:tcW w:w="1383" w:type="dxa"/>
            <w:tcBorders/>
          </w:tcPr>
          <w:p>
            <w:pPr>
              <w:pStyle w:val="style0"/>
              <w:jc w:val="center"/>
              <w:rPr>
                <w:color w:val="000000"/>
              </w:rPr>
            </w:pPr>
            <w:r>
              <w:rPr>
                <w:color w:val="000000"/>
              </w:rPr>
              <w:t>19</w:t>
            </w:r>
            <w:r>
              <w:rPr>
                <w:color w:val="000000"/>
                <w:vertAlign w:val="superscript"/>
              </w:rPr>
              <w:t>η</w:t>
            </w:r>
            <w:r>
              <w:rPr>
                <w:color w:val="000000"/>
              </w:rPr>
              <w:t>-20</w:t>
            </w:r>
            <w:r>
              <w:rPr>
                <w:color w:val="000000"/>
                <w:vertAlign w:val="superscript"/>
              </w:rPr>
              <w:t>η</w:t>
            </w:r>
            <w:r>
              <w:rPr>
                <w:color w:val="000000"/>
              </w:rPr>
              <w:t xml:space="preserve"> [14293- 14348 </w:t>
            </w:r>
            <w:r>
              <w:rPr>
                <w:color w:val="000000"/>
                <w:lang w:val="en-US"/>
              </w:rPr>
              <w:t>Hz</w:t>
            </w:r>
            <w:r>
              <w:rPr>
                <w:color w:val="000000"/>
              </w:rPr>
              <w:t>]</w:t>
            </w:r>
          </w:p>
        </w:tc>
        <w:tc>
          <w:tcPr>
            <w:tcW w:w="1383" w:type="dxa"/>
            <w:tcBorders/>
          </w:tcPr>
          <w:p>
            <w:pPr>
              <w:pStyle w:val="style0"/>
              <w:jc w:val="center"/>
              <w:rPr>
                <w:color w:val="000000"/>
              </w:rPr>
            </w:pPr>
            <w:r>
              <w:rPr>
                <w:color w:val="000000"/>
              </w:rPr>
              <w:t>19</w:t>
            </w:r>
            <w:r>
              <w:rPr>
                <w:color w:val="000000"/>
                <w:vertAlign w:val="superscript"/>
              </w:rPr>
              <w:t>η</w:t>
            </w:r>
            <w:r>
              <w:rPr>
                <w:color w:val="000000"/>
              </w:rPr>
              <w:t>-20</w:t>
            </w:r>
            <w:r>
              <w:rPr>
                <w:color w:val="000000"/>
                <w:vertAlign w:val="superscript"/>
              </w:rPr>
              <w:t xml:space="preserve">η </w:t>
            </w:r>
            <w:r>
              <w:rPr>
                <w:color w:val="000000"/>
              </w:rPr>
              <w:t xml:space="preserve">[13014-13120 </w:t>
            </w:r>
            <w:r>
              <w:rPr>
                <w:color w:val="000000"/>
                <w:lang w:val="en-US"/>
              </w:rPr>
              <w:t>Hz</w:t>
            </w:r>
            <w:r>
              <w:rPr>
                <w:color w:val="000000"/>
              </w:rPr>
              <w:t>]</w:t>
            </w:r>
          </w:p>
        </w:tc>
      </w:tr>
      <w:tr>
        <w:tblPrEx/>
        <w:trPr/>
        <w:tc>
          <w:tcPr>
            <w:tcW w:w="1382" w:type="dxa"/>
            <w:tcBorders/>
          </w:tcPr>
          <w:p>
            <w:pPr>
              <w:pStyle w:val="style0"/>
              <w:jc w:val="center"/>
              <w:rPr>
                <w:color w:val="000000"/>
              </w:rPr>
            </w:pPr>
            <w:r>
              <w:rPr>
                <w:color w:val="000000"/>
              </w:rPr>
              <w:t>8</w:t>
            </w:r>
            <w:r>
              <w:rPr>
                <w:color w:val="000000"/>
                <w:vertAlign w:val="superscript"/>
              </w:rPr>
              <w:t>ο</w:t>
            </w:r>
            <w:r>
              <w:rPr>
                <w:color w:val="000000"/>
              </w:rPr>
              <w:t xml:space="preserve"> </w:t>
            </w:r>
            <w:r>
              <w:rPr>
                <w:color w:val="000000"/>
                <w:lang w:val="en-US"/>
              </w:rPr>
              <w:t>band gap</w:t>
            </w:r>
          </w:p>
        </w:tc>
        <w:tc>
          <w:tcPr>
            <w:tcW w:w="1382" w:type="dxa"/>
            <w:tcBorders/>
          </w:tcPr>
          <w:p>
            <w:pPr>
              <w:pStyle w:val="style0"/>
              <w:jc w:val="center"/>
              <w:rPr>
                <w:color w:val="000000"/>
              </w:rPr>
            </w:pPr>
            <w:r>
              <w:rPr>
                <w:color w:val="000000"/>
              </w:rPr>
              <w:t>-</w:t>
            </w:r>
          </w:p>
        </w:tc>
        <w:tc>
          <w:tcPr>
            <w:tcW w:w="1383" w:type="dxa"/>
            <w:tcBorders/>
          </w:tcPr>
          <w:p>
            <w:pPr>
              <w:pStyle w:val="style0"/>
              <w:jc w:val="center"/>
              <w:rPr>
                <w:color w:val="000000"/>
                <w:vertAlign w:val="superscript"/>
              </w:rPr>
            </w:pPr>
            <w:r>
              <w:rPr>
                <w:color w:val="000000"/>
              </w:rPr>
              <w:t>19</w:t>
            </w:r>
            <w:r>
              <w:rPr>
                <w:color w:val="000000"/>
                <w:vertAlign w:val="superscript"/>
              </w:rPr>
              <w:t>η</w:t>
            </w:r>
            <w:r>
              <w:rPr>
                <w:color w:val="000000"/>
              </w:rPr>
              <w:t>-20</w:t>
            </w:r>
            <w:r>
              <w:rPr>
                <w:color w:val="000000"/>
                <w:vertAlign w:val="superscript"/>
              </w:rPr>
              <w:t>η</w:t>
            </w:r>
          </w:p>
          <w:p>
            <w:pPr>
              <w:pStyle w:val="style0"/>
              <w:jc w:val="center"/>
              <w:rPr>
                <w:color w:val="000000"/>
              </w:rPr>
            </w:pPr>
            <w:r>
              <w:rPr>
                <w:color w:val="000000"/>
              </w:rPr>
              <w:t xml:space="preserve">[17775- 17780 </w:t>
            </w:r>
            <w:r>
              <w:rPr>
                <w:color w:val="000000"/>
                <w:lang w:val="en-US"/>
              </w:rPr>
              <w:t>Hz</w:t>
            </w:r>
            <w:r>
              <w:rPr>
                <w:color w:val="000000"/>
              </w:rPr>
              <w:t>]</w:t>
            </w:r>
          </w:p>
        </w:tc>
        <w:tc>
          <w:tcPr>
            <w:tcW w:w="1383" w:type="dxa"/>
            <w:tcBorders/>
          </w:tcPr>
          <w:p>
            <w:pPr>
              <w:pStyle w:val="style0"/>
              <w:jc w:val="center"/>
              <w:rPr>
                <w:color w:val="000000"/>
              </w:rPr>
            </w:pPr>
            <w:r>
              <w:rPr>
                <w:color w:val="000000"/>
              </w:rPr>
              <w:t>-</w:t>
            </w:r>
          </w:p>
        </w:tc>
        <w:tc>
          <w:tcPr>
            <w:tcW w:w="1383" w:type="dxa"/>
            <w:tcBorders/>
          </w:tcPr>
          <w:p>
            <w:pPr>
              <w:pStyle w:val="style0"/>
              <w:jc w:val="center"/>
              <w:rPr>
                <w:color w:val="000000"/>
              </w:rPr>
            </w:pPr>
            <w:r>
              <w:rPr>
                <w:color w:val="000000"/>
              </w:rPr>
              <w:t>-</w:t>
            </w:r>
          </w:p>
        </w:tc>
        <w:tc>
          <w:tcPr>
            <w:tcW w:w="1383" w:type="dxa"/>
            <w:tcBorders/>
          </w:tcPr>
          <w:p>
            <w:pPr>
              <w:pStyle w:val="style0"/>
              <w:jc w:val="center"/>
              <w:rPr>
                <w:color w:val="000000"/>
              </w:rPr>
            </w:pPr>
            <w:r>
              <w:rPr>
                <w:color w:val="000000"/>
              </w:rPr>
              <w:t>-</w:t>
            </w:r>
          </w:p>
        </w:tc>
      </w:tr>
    </w:tbl>
    <w:p>
      <w:pPr>
        <w:pStyle w:val="style0"/>
        <w:rPr>
          <w:color w:val="000000"/>
        </w:rPr>
      </w:pPr>
    </w:p>
    <w:p>
      <w:pPr>
        <w:pStyle w:val="style0"/>
        <w:rPr>
          <w:color w:val="000000"/>
        </w:rPr>
      </w:pPr>
      <w:r>
        <w:rPr>
          <w:color w:val="000000"/>
        </w:rPr>
        <w:t>Εν συνεχεία</w:t>
      </w:r>
      <w:r>
        <w:rPr>
          <w:color w:val="000000"/>
        </w:rPr>
        <w:t xml:space="preserve"> </w:t>
      </w:r>
      <w:r>
        <w:rPr>
          <w:color w:val="000000"/>
        </w:rPr>
        <w:t>παρατηρείται</w:t>
      </w:r>
      <w:r>
        <w:rPr>
          <w:color w:val="000000"/>
        </w:rPr>
        <w:t>,</w:t>
      </w:r>
      <w:r>
        <w:rPr>
          <w:color w:val="000000"/>
        </w:rPr>
        <w:t xml:space="preserve"> ότι σε όλες τις περιπτώσεις </w:t>
      </w:r>
      <w:r>
        <w:rPr>
          <w:color w:val="000000"/>
        </w:rPr>
        <w:t>υπάρχ</w:t>
      </w:r>
      <w:r>
        <w:rPr>
          <w:color w:val="000000"/>
        </w:rPr>
        <w:t>ει</w:t>
      </w:r>
      <w:r>
        <w:rPr>
          <w:color w:val="000000"/>
        </w:rPr>
        <w:t xml:space="preserve"> </w:t>
      </w:r>
      <w:r>
        <w:rPr>
          <w:color w:val="000000"/>
          <w:lang w:val="en-US"/>
        </w:rPr>
        <w:t>band</w:t>
      </w:r>
      <w:r>
        <w:rPr>
          <w:color w:val="000000"/>
        </w:rPr>
        <w:t xml:space="preserve"> </w:t>
      </w:r>
      <w:r>
        <w:rPr>
          <w:color w:val="000000"/>
          <w:lang w:val="en-US"/>
        </w:rPr>
        <w:t>gap</w:t>
      </w:r>
      <w:r>
        <w:rPr>
          <w:color w:val="000000"/>
        </w:rPr>
        <w:t xml:space="preserve"> ανάμεσα στην 4</w:t>
      </w:r>
      <w:r>
        <w:rPr>
          <w:color w:val="000000"/>
          <w:vertAlign w:val="superscript"/>
        </w:rPr>
        <w:t>η</w:t>
      </w:r>
      <w:r>
        <w:rPr>
          <w:color w:val="000000"/>
        </w:rPr>
        <w:t>-5</w:t>
      </w:r>
      <w:r>
        <w:rPr>
          <w:color w:val="000000"/>
          <w:vertAlign w:val="superscript"/>
        </w:rPr>
        <w:t>η</w:t>
      </w:r>
      <w:r>
        <w:rPr>
          <w:color w:val="000000"/>
        </w:rPr>
        <w:t>, 13</w:t>
      </w:r>
      <w:r>
        <w:rPr>
          <w:color w:val="000000"/>
          <w:vertAlign w:val="superscript"/>
        </w:rPr>
        <w:t>η</w:t>
      </w:r>
      <w:r>
        <w:rPr>
          <w:color w:val="000000"/>
        </w:rPr>
        <w:t>-14</w:t>
      </w:r>
      <w:r>
        <w:rPr>
          <w:color w:val="000000"/>
          <w:vertAlign w:val="superscript"/>
        </w:rPr>
        <w:t>η</w:t>
      </w:r>
      <w:r>
        <w:rPr>
          <w:color w:val="000000"/>
        </w:rPr>
        <w:t xml:space="preserve"> ιδιοσυχνότητα. Επίσης, καθώς αυξάνεται η ακτίνα, σταδιακά εξαφανίζονται τα χάσματα από την 9</w:t>
      </w:r>
      <w:r>
        <w:rPr>
          <w:color w:val="000000"/>
          <w:vertAlign w:val="superscript"/>
        </w:rPr>
        <w:t>η</w:t>
      </w:r>
      <w:r>
        <w:rPr>
          <w:color w:val="000000"/>
        </w:rPr>
        <w:t xml:space="preserve"> μέχρι και την 12</w:t>
      </w:r>
      <w:r>
        <w:rPr>
          <w:color w:val="000000"/>
          <w:vertAlign w:val="superscript"/>
        </w:rPr>
        <w:t>η</w:t>
      </w:r>
      <w:r>
        <w:rPr>
          <w:color w:val="000000"/>
        </w:rPr>
        <w:t xml:space="preserve"> ιδιοσυχνότητα και αντ</w:t>
      </w:r>
      <w:r>
        <w:rPr>
          <w:color w:val="000000"/>
        </w:rPr>
        <w:t>ί</w:t>
      </w:r>
      <w:r>
        <w:rPr>
          <w:color w:val="000000"/>
        </w:rPr>
        <w:t xml:space="preserve"> αυτών δημιουργούνται στις 14</w:t>
      </w:r>
      <w:r>
        <w:rPr>
          <w:color w:val="000000"/>
          <w:vertAlign w:val="superscript"/>
        </w:rPr>
        <w:t>η</w:t>
      </w:r>
      <w:r>
        <w:rPr>
          <w:color w:val="000000"/>
        </w:rPr>
        <w:t xml:space="preserve"> μέχρι 16</w:t>
      </w:r>
      <w:r>
        <w:rPr>
          <w:color w:val="000000"/>
          <w:vertAlign w:val="superscript"/>
        </w:rPr>
        <w:t>η</w:t>
      </w:r>
      <w:r>
        <w:rPr>
          <w:color w:val="000000"/>
        </w:rPr>
        <w:t xml:space="preserve"> και 17</w:t>
      </w:r>
      <w:r>
        <w:rPr>
          <w:color w:val="000000"/>
          <w:vertAlign w:val="superscript"/>
        </w:rPr>
        <w:t>η</w:t>
      </w:r>
      <w:r>
        <w:rPr>
          <w:color w:val="000000"/>
        </w:rPr>
        <w:t xml:space="preserve"> με 18</w:t>
      </w:r>
      <w:r>
        <w:rPr>
          <w:color w:val="000000"/>
          <w:vertAlign w:val="superscript"/>
        </w:rPr>
        <w:t>η</w:t>
      </w:r>
      <w:r>
        <w:rPr>
          <w:color w:val="000000"/>
        </w:rPr>
        <w:t>.</w:t>
      </w:r>
    </w:p>
    <w:p>
      <w:pPr>
        <w:pStyle w:val="style0"/>
        <w:rPr>
          <w:color w:val="000000"/>
        </w:rPr>
      </w:pPr>
      <w:r>
        <w:rPr>
          <w:color w:val="000000"/>
        </w:rPr>
        <w:t xml:space="preserve">Τέλος, </w:t>
      </w:r>
      <w:r>
        <w:rPr>
          <w:color w:val="000000"/>
        </w:rPr>
        <w:t>φαίνεται</w:t>
      </w:r>
      <w:r>
        <w:rPr>
          <w:color w:val="000000"/>
        </w:rPr>
        <w:t xml:space="preserve"> ότι το εύρος τον χασμάτων, όσο αυξάνεται η ακτίνα, έχει μικρότερη απόκλιση.</w:t>
      </w:r>
    </w:p>
    <w:p>
      <w:pPr>
        <w:pStyle w:val="style0"/>
        <w:rPr>
          <w:color w:val="000000"/>
        </w:rPr>
      </w:pPr>
      <w:r>
        <w:rPr>
          <w:color w:val="000000"/>
        </w:rPr>
        <w:br w:type="page"/>
      </w:r>
    </w:p>
    <w:bookmarkStart w:id="71" w:name="_Toc66524617"/>
    <w:bookmarkStart w:id="72" w:name="_Toc77270454"/>
    <w:p>
      <w:pPr>
        <w:pStyle w:val="style2"/>
        <w:rPr>
          <w:color w:val="000000"/>
        </w:rPr>
      </w:pPr>
      <w:r>
        <w:rPr>
          <w:color w:val="4472c4"/>
        </w:rPr>
        <w:t>Παραμετροποίηση μήκους άρθρωσης σκελετού (</w:t>
      </w:r>
      <w:r>
        <w:rPr>
          <w:color w:val="4472c4"/>
          <w:lang w:val="en-US"/>
        </w:rPr>
        <w:t>l</w:t>
      </w:r>
      <w:r>
        <w:rPr>
          <w:color w:val="4472c4"/>
        </w:rPr>
        <w:t>)</w:t>
      </w:r>
      <w:bookmarkEnd w:id="71"/>
      <w:bookmarkEnd w:id="72"/>
    </w:p>
    <w:p>
      <w:pPr>
        <w:pStyle w:val="style0"/>
        <w:rPr/>
      </w:pPr>
    </w:p>
    <w:p>
      <w:pPr>
        <w:pStyle w:val="style0"/>
        <w:rPr/>
      </w:pPr>
      <w:r>
        <w:t xml:space="preserve">Αρχικά, </w:t>
      </w:r>
      <w:r>
        <w:t>φαίνεται</w:t>
      </w:r>
      <w:r>
        <w:t xml:space="preserve"> ότι το εύρος των 20 πρώτων ιδιοσυχνοτήτων παραμένουν αρκετά σταθερά [0-1600 </w:t>
      </w:r>
      <w:r>
        <w:rPr>
          <w:lang w:val="en-US"/>
        </w:rPr>
        <w:t>Hz</w:t>
      </w:r>
      <w:r>
        <w:t>], με μια μικρή ανοχή, αλλά από αυτό συμπεραίνουμε ότι η αλλαγή του μήκους της άρθρωσης δεν επηρεάζει σημαντικά το εύρος των ιδιοσυχνοτήτων.</w:t>
      </w:r>
    </w:p>
    <w:p>
      <w:pPr>
        <w:pStyle w:val="style0"/>
        <w:rPr/>
      </w:pPr>
      <w:r>
        <w:t xml:space="preserve">Στον παρακάτω πίνακα συνοψίζονται τα στοιχεία, </w:t>
      </w:r>
      <w:r>
        <w:t xml:space="preserve">για </w:t>
      </w:r>
      <w:r>
        <w:t>ευκολία:</w:t>
      </w:r>
    </w:p>
    <w:tbl>
      <w:tblPr>
        <w:tblStyle w:val="style154"/>
        <w:tblW w:w="0" w:type="auto"/>
        <w:tblLook w:val="04A0" w:firstRow="1" w:lastRow="0" w:firstColumn="1" w:lastColumn="0" w:noHBand="0" w:noVBand="1"/>
      </w:tblPr>
      <w:tblGrid>
        <w:gridCol w:w="1382"/>
        <w:gridCol w:w="1382"/>
        <w:gridCol w:w="1461"/>
        <w:gridCol w:w="1305"/>
        <w:gridCol w:w="1485"/>
        <w:gridCol w:w="1281"/>
      </w:tblGrid>
      <w:tr>
        <w:trPr/>
        <w:tc>
          <w:tcPr>
            <w:tcW w:w="1382" w:type="dxa"/>
            <w:tcBorders/>
          </w:tcPr>
          <w:p>
            <w:pPr>
              <w:pStyle w:val="style0"/>
              <w:jc w:val="center"/>
              <w:rPr/>
            </w:pPr>
          </w:p>
        </w:tc>
        <w:tc>
          <w:tcPr>
            <w:tcW w:w="1382" w:type="dxa"/>
            <w:tcBorders/>
          </w:tcPr>
          <w:p>
            <w:pPr>
              <w:pStyle w:val="style0"/>
              <w:jc w:val="center"/>
              <w:rPr>
                <w:lang w:val="en-US"/>
              </w:rPr>
            </w:pPr>
            <w:r>
              <w:rPr>
                <w:lang w:val="en-US"/>
              </w:rPr>
              <w:t>l=0.01875 m</w:t>
            </w:r>
          </w:p>
        </w:tc>
        <w:tc>
          <w:tcPr>
            <w:tcW w:w="1461" w:type="dxa"/>
            <w:tcBorders/>
          </w:tcPr>
          <w:p>
            <w:pPr>
              <w:pStyle w:val="style0"/>
              <w:jc w:val="center"/>
              <w:rPr>
                <w:lang w:val="en-US"/>
              </w:rPr>
            </w:pPr>
            <w:r>
              <w:rPr>
                <w:lang w:val="en-US"/>
              </w:rPr>
              <w:t>l=0.021875 m</w:t>
            </w:r>
          </w:p>
        </w:tc>
        <w:tc>
          <w:tcPr>
            <w:tcW w:w="1305" w:type="dxa"/>
            <w:tcBorders/>
          </w:tcPr>
          <w:p>
            <w:pPr>
              <w:pStyle w:val="style0"/>
              <w:jc w:val="center"/>
              <w:rPr>
                <w:lang w:val="en-US"/>
              </w:rPr>
            </w:pPr>
            <w:r>
              <w:rPr>
                <w:lang w:val="en-US"/>
              </w:rPr>
              <w:t>l=0.025 m</w:t>
            </w:r>
          </w:p>
        </w:tc>
        <w:tc>
          <w:tcPr>
            <w:tcW w:w="1485" w:type="dxa"/>
            <w:tcBorders/>
          </w:tcPr>
          <w:p>
            <w:pPr>
              <w:pStyle w:val="style0"/>
              <w:jc w:val="center"/>
              <w:rPr>
                <w:lang w:val="en-US"/>
              </w:rPr>
            </w:pPr>
            <w:r>
              <w:rPr>
                <w:lang w:val="en-US"/>
              </w:rPr>
              <w:t>l=0.028125 m</w:t>
            </w:r>
          </w:p>
        </w:tc>
        <w:tc>
          <w:tcPr>
            <w:tcW w:w="1281" w:type="dxa"/>
            <w:tcBorders/>
          </w:tcPr>
          <w:p>
            <w:pPr>
              <w:pStyle w:val="style0"/>
              <w:jc w:val="center"/>
              <w:rPr>
                <w:lang w:val="en-US"/>
              </w:rPr>
            </w:pPr>
            <w:r>
              <w:rPr>
                <w:lang w:val="en-US"/>
              </w:rPr>
              <w:t>l=0.03125 m</w:t>
            </w:r>
          </w:p>
        </w:tc>
      </w:tr>
      <w:tr>
        <w:tblPrEx/>
        <w:trPr/>
        <w:tc>
          <w:tcPr>
            <w:tcW w:w="1382" w:type="dxa"/>
            <w:tcBorders/>
          </w:tcPr>
          <w:p>
            <w:pPr>
              <w:pStyle w:val="style0"/>
              <w:jc w:val="center"/>
              <w:rPr>
                <w:lang w:val="en-US"/>
              </w:rPr>
            </w:pPr>
            <w:r>
              <w:t>1</w:t>
            </w:r>
            <w:r>
              <w:rPr>
                <w:vertAlign w:val="superscript"/>
              </w:rPr>
              <w:t>ο</w:t>
            </w:r>
            <w:r>
              <w:t xml:space="preserve"> </w:t>
            </w:r>
            <w:r>
              <w:rPr>
                <w:lang w:val="en-US"/>
              </w:rPr>
              <w:t>band gap</w:t>
            </w:r>
          </w:p>
        </w:tc>
        <w:tc>
          <w:tcPr>
            <w:tcW w:w="1382" w:type="dxa"/>
            <w:tcBorders/>
          </w:tcPr>
          <w:p>
            <w:pPr>
              <w:pStyle w:val="style0"/>
              <w:jc w:val="center"/>
              <w:rPr>
                <w:vertAlign w:val="superscript"/>
              </w:rPr>
            </w:pPr>
            <w:r>
              <w:t>4</w:t>
            </w:r>
            <w:r>
              <w:rPr>
                <w:vertAlign w:val="superscript"/>
              </w:rPr>
              <w:t>η</w:t>
            </w:r>
            <w:r>
              <w:t>-5</w:t>
            </w:r>
            <w:r>
              <w:rPr>
                <w:vertAlign w:val="superscript"/>
              </w:rPr>
              <w:t>η</w:t>
            </w:r>
          </w:p>
          <w:p>
            <w:pPr>
              <w:pStyle w:val="style0"/>
              <w:jc w:val="center"/>
              <w:rPr/>
            </w:pPr>
            <w:r>
              <w:t xml:space="preserve">[4675-4701 </w:t>
            </w:r>
            <w:r>
              <w:rPr>
                <w:lang w:val="en-US"/>
              </w:rPr>
              <w:t>Hz</w:t>
            </w:r>
            <w:r>
              <w:t>]</w:t>
            </w:r>
          </w:p>
        </w:tc>
        <w:tc>
          <w:tcPr>
            <w:tcW w:w="1461" w:type="dxa"/>
            <w:tcBorders/>
          </w:tcPr>
          <w:p>
            <w:pPr>
              <w:pStyle w:val="style0"/>
              <w:jc w:val="center"/>
              <w:rPr/>
            </w:pPr>
            <w:r>
              <w:t>4</w:t>
            </w:r>
            <w:r>
              <w:rPr>
                <w:vertAlign w:val="superscript"/>
              </w:rPr>
              <w:t>η</w:t>
            </w:r>
            <w:r>
              <w:t>-5</w:t>
            </w:r>
            <w:r>
              <w:rPr>
                <w:vertAlign w:val="superscript"/>
              </w:rPr>
              <w:t>η</w:t>
            </w:r>
          </w:p>
          <w:p>
            <w:pPr>
              <w:pStyle w:val="style0"/>
              <w:jc w:val="center"/>
              <w:rPr>
                <w:sz w:val="24"/>
                <w:szCs w:val="24"/>
              </w:rPr>
            </w:pPr>
            <w:r>
              <w:t xml:space="preserve">[3805-4018 </w:t>
            </w:r>
            <w:r>
              <w:rPr>
                <w:lang w:val="en-US"/>
              </w:rPr>
              <w:t>Hz</w:t>
            </w:r>
            <w:r>
              <w:rPr>
                <w:sz w:val="24"/>
                <w:szCs w:val="24"/>
              </w:rPr>
              <w:t>]</w:t>
            </w:r>
          </w:p>
        </w:tc>
        <w:tc>
          <w:tcPr>
            <w:tcW w:w="1305" w:type="dxa"/>
            <w:tcBorders/>
          </w:tcPr>
          <w:p>
            <w:pPr>
              <w:pStyle w:val="style0"/>
              <w:jc w:val="center"/>
              <w:rPr/>
            </w:pPr>
            <w:r>
              <w:t>4</w:t>
            </w:r>
            <w:r>
              <w:rPr>
                <w:vertAlign w:val="superscript"/>
              </w:rPr>
              <w:t>η</w:t>
            </w:r>
            <w:r>
              <w:t>-5</w:t>
            </w:r>
            <w:r>
              <w:rPr>
                <w:vertAlign w:val="superscript"/>
              </w:rPr>
              <w:t>η</w:t>
            </w:r>
            <w:r>
              <w:t xml:space="preserve"> </w:t>
            </w:r>
          </w:p>
          <w:p>
            <w:pPr>
              <w:pStyle w:val="style0"/>
              <w:jc w:val="center"/>
              <w:rPr/>
            </w:pPr>
            <w:r>
              <w:t xml:space="preserve">[3030- 3148 </w:t>
            </w:r>
            <w:r>
              <w:rPr>
                <w:lang w:val="en-US"/>
              </w:rPr>
              <w:t>Hz</w:t>
            </w:r>
            <w:r>
              <w:t>]</w:t>
            </w:r>
          </w:p>
        </w:tc>
        <w:tc>
          <w:tcPr>
            <w:tcW w:w="1485" w:type="dxa"/>
            <w:tcBorders/>
          </w:tcPr>
          <w:p>
            <w:pPr>
              <w:pStyle w:val="style0"/>
              <w:jc w:val="center"/>
              <w:rPr/>
            </w:pPr>
            <w:r>
              <w:t>4</w:t>
            </w:r>
            <w:r>
              <w:rPr>
                <w:vertAlign w:val="superscript"/>
              </w:rPr>
              <w:t>η</w:t>
            </w:r>
            <w:r>
              <w:t>-5</w:t>
            </w:r>
            <w:r>
              <w:rPr>
                <w:vertAlign w:val="superscript"/>
              </w:rPr>
              <w:t>η</w:t>
            </w:r>
          </w:p>
          <w:p>
            <w:pPr>
              <w:pStyle w:val="style0"/>
              <w:jc w:val="center"/>
              <w:rPr/>
            </w:pPr>
            <w:r>
              <w:t xml:space="preserve">[2947-3099 </w:t>
            </w:r>
            <w:r>
              <w:rPr>
                <w:lang w:val="en-US"/>
              </w:rPr>
              <w:t>Hz</w:t>
            </w:r>
            <w:r>
              <w:t>]</w:t>
            </w:r>
          </w:p>
        </w:tc>
        <w:tc>
          <w:tcPr>
            <w:tcW w:w="1281" w:type="dxa"/>
            <w:tcBorders/>
          </w:tcPr>
          <w:p>
            <w:pPr>
              <w:pStyle w:val="style0"/>
              <w:jc w:val="center"/>
              <w:rPr/>
            </w:pPr>
            <w:r>
              <w:t>9</w:t>
            </w:r>
            <w:r>
              <w:rPr>
                <w:vertAlign w:val="superscript"/>
              </w:rPr>
              <w:t>η</w:t>
            </w:r>
            <w:r>
              <w:t>-10</w:t>
            </w:r>
            <w:r>
              <w:rPr>
                <w:vertAlign w:val="superscript"/>
              </w:rPr>
              <w:t>η</w:t>
            </w:r>
          </w:p>
          <w:p>
            <w:pPr>
              <w:pStyle w:val="style0"/>
              <w:jc w:val="center"/>
              <w:rPr/>
            </w:pPr>
            <w:r>
              <w:t xml:space="preserve">[7005-7670 </w:t>
            </w:r>
            <w:r>
              <w:rPr>
                <w:lang w:val="en-US"/>
              </w:rPr>
              <w:t>Hz</w:t>
            </w:r>
            <w:r>
              <w:t>]</w:t>
            </w:r>
          </w:p>
        </w:tc>
      </w:tr>
      <w:tr>
        <w:tblPrEx/>
        <w:trPr/>
        <w:tc>
          <w:tcPr>
            <w:tcW w:w="1382" w:type="dxa"/>
            <w:tcBorders/>
          </w:tcPr>
          <w:p>
            <w:pPr>
              <w:pStyle w:val="style0"/>
              <w:jc w:val="center"/>
              <w:rPr/>
            </w:pPr>
            <w:r>
              <w:t>2</w:t>
            </w:r>
            <w:r>
              <w:rPr>
                <w:vertAlign w:val="superscript"/>
              </w:rPr>
              <w:t>ο</w:t>
            </w:r>
            <w:r>
              <w:t xml:space="preserve"> </w:t>
            </w:r>
            <w:r>
              <w:rPr>
                <w:lang w:val="en-US"/>
              </w:rPr>
              <w:t>band gap</w:t>
            </w:r>
          </w:p>
        </w:tc>
        <w:tc>
          <w:tcPr>
            <w:tcW w:w="1382" w:type="dxa"/>
            <w:tcBorders/>
          </w:tcPr>
          <w:p>
            <w:pPr>
              <w:pStyle w:val="style0"/>
              <w:jc w:val="center"/>
              <w:rPr/>
            </w:pPr>
            <w:r>
              <w:t>5</w:t>
            </w:r>
            <w:r>
              <w:rPr>
                <w:vertAlign w:val="superscript"/>
              </w:rPr>
              <w:t>η</w:t>
            </w:r>
            <w:r>
              <w:t>-6</w:t>
            </w:r>
            <w:r>
              <w:rPr>
                <w:vertAlign w:val="superscript"/>
              </w:rPr>
              <w:t>η</w:t>
            </w:r>
          </w:p>
          <w:p>
            <w:pPr>
              <w:pStyle w:val="style0"/>
              <w:jc w:val="center"/>
              <w:rPr/>
            </w:pPr>
            <w:r>
              <w:t xml:space="preserve">[4930-5550 </w:t>
            </w:r>
            <w:r>
              <w:rPr>
                <w:lang w:val="en-US"/>
              </w:rPr>
              <w:t>Hz</w:t>
            </w:r>
            <w:r>
              <w:t>]</w:t>
            </w:r>
          </w:p>
        </w:tc>
        <w:tc>
          <w:tcPr>
            <w:tcW w:w="1461" w:type="dxa"/>
            <w:tcBorders/>
          </w:tcPr>
          <w:p>
            <w:pPr>
              <w:pStyle w:val="style0"/>
              <w:jc w:val="center"/>
              <w:rPr/>
            </w:pPr>
            <w:r>
              <w:t>8</w:t>
            </w:r>
            <w:r>
              <w:rPr>
                <w:vertAlign w:val="superscript"/>
              </w:rPr>
              <w:t>η</w:t>
            </w:r>
            <w:r>
              <w:t>-9</w:t>
            </w:r>
            <w:r>
              <w:rPr>
                <w:vertAlign w:val="superscript"/>
              </w:rPr>
              <w:t>η</w:t>
            </w:r>
          </w:p>
          <w:p>
            <w:pPr>
              <w:pStyle w:val="style0"/>
              <w:jc w:val="center"/>
              <w:rPr/>
            </w:pPr>
            <w:r>
              <w:t xml:space="preserve">[8950-9550 </w:t>
            </w:r>
            <w:r>
              <w:rPr>
                <w:lang w:val="en-US"/>
              </w:rPr>
              <w:t>Hz</w:t>
            </w:r>
            <w:r>
              <w:t>]</w:t>
            </w:r>
          </w:p>
        </w:tc>
        <w:tc>
          <w:tcPr>
            <w:tcW w:w="1305" w:type="dxa"/>
            <w:tcBorders/>
          </w:tcPr>
          <w:p>
            <w:pPr>
              <w:pStyle w:val="style0"/>
              <w:jc w:val="center"/>
              <w:rPr/>
            </w:pPr>
            <w:r>
              <w:t>10</w:t>
            </w:r>
            <w:r>
              <w:rPr>
                <w:vertAlign w:val="superscript"/>
              </w:rPr>
              <w:t>η</w:t>
            </w:r>
            <w:r>
              <w:t>-11</w:t>
            </w:r>
            <w:r>
              <w:rPr>
                <w:vertAlign w:val="superscript"/>
              </w:rPr>
              <w:t>η</w:t>
            </w:r>
            <w:r>
              <w:t xml:space="preserve"> [9505- 9550 </w:t>
            </w:r>
            <w:r>
              <w:rPr>
                <w:lang w:val="en-US"/>
              </w:rPr>
              <w:t>Hz</w:t>
            </w:r>
            <w:r>
              <w:t>]</w:t>
            </w:r>
          </w:p>
        </w:tc>
        <w:tc>
          <w:tcPr>
            <w:tcW w:w="1485" w:type="dxa"/>
            <w:tcBorders/>
          </w:tcPr>
          <w:p>
            <w:pPr>
              <w:pStyle w:val="style0"/>
              <w:jc w:val="center"/>
              <w:rPr/>
            </w:pPr>
            <w:r>
              <w:t>9</w:t>
            </w:r>
            <w:r>
              <w:rPr>
                <w:vertAlign w:val="superscript"/>
              </w:rPr>
              <w:t>η</w:t>
            </w:r>
            <w:r>
              <w:t>-10</w:t>
            </w:r>
            <w:r>
              <w:rPr>
                <w:vertAlign w:val="superscript"/>
              </w:rPr>
              <w:t>η</w:t>
            </w:r>
          </w:p>
          <w:p>
            <w:pPr>
              <w:pStyle w:val="style0"/>
              <w:jc w:val="center"/>
              <w:rPr/>
            </w:pPr>
            <w:r>
              <w:t xml:space="preserve">[7797-7824 </w:t>
            </w:r>
            <w:r>
              <w:rPr>
                <w:lang w:val="en-US"/>
              </w:rPr>
              <w:t>Hz</w:t>
            </w:r>
            <w:r>
              <w:t>]</w:t>
            </w:r>
          </w:p>
        </w:tc>
        <w:tc>
          <w:tcPr>
            <w:tcW w:w="1281" w:type="dxa"/>
            <w:tcBorders/>
          </w:tcPr>
          <w:p>
            <w:pPr>
              <w:pStyle w:val="style0"/>
              <w:jc w:val="center"/>
              <w:rPr/>
            </w:pPr>
            <w:r>
              <w:t>10</w:t>
            </w:r>
            <w:r>
              <w:rPr>
                <w:vertAlign w:val="superscript"/>
              </w:rPr>
              <w:t>η</w:t>
            </w:r>
            <w:r>
              <w:t>-11</w:t>
            </w:r>
            <w:r>
              <w:rPr>
                <w:vertAlign w:val="superscript"/>
              </w:rPr>
              <w:t>η</w:t>
            </w:r>
          </w:p>
          <w:p>
            <w:pPr>
              <w:pStyle w:val="style0"/>
              <w:jc w:val="center"/>
              <w:rPr/>
            </w:pPr>
            <w:r>
              <w:t xml:space="preserve">[8140-9550 </w:t>
            </w:r>
            <w:r>
              <w:rPr>
                <w:lang w:val="en-US"/>
              </w:rPr>
              <w:t>Hz</w:t>
            </w:r>
            <w:r>
              <w:t>]</w:t>
            </w:r>
          </w:p>
        </w:tc>
      </w:tr>
      <w:tr>
        <w:tblPrEx/>
        <w:trPr/>
        <w:tc>
          <w:tcPr>
            <w:tcW w:w="1382" w:type="dxa"/>
            <w:tcBorders/>
          </w:tcPr>
          <w:p>
            <w:pPr>
              <w:pStyle w:val="style0"/>
              <w:jc w:val="center"/>
              <w:rPr/>
            </w:pPr>
            <w:r>
              <w:t>3</w:t>
            </w:r>
            <w:r>
              <w:rPr>
                <w:vertAlign w:val="superscript"/>
              </w:rPr>
              <w:t>ο</w:t>
            </w:r>
            <w:r>
              <w:t xml:space="preserve"> </w:t>
            </w:r>
            <w:r>
              <w:rPr>
                <w:lang w:val="en-US"/>
              </w:rPr>
              <w:t>band gap</w:t>
            </w:r>
          </w:p>
        </w:tc>
        <w:tc>
          <w:tcPr>
            <w:tcW w:w="1382" w:type="dxa"/>
            <w:tcBorders/>
          </w:tcPr>
          <w:p>
            <w:pPr>
              <w:pStyle w:val="style0"/>
              <w:jc w:val="center"/>
              <w:rPr/>
            </w:pPr>
            <w:r>
              <w:t>9</w:t>
            </w:r>
            <w:r>
              <w:rPr>
                <w:vertAlign w:val="superscript"/>
              </w:rPr>
              <w:t>η</w:t>
            </w:r>
            <w:r>
              <w:t>-10</w:t>
            </w:r>
            <w:r>
              <w:rPr>
                <w:vertAlign w:val="superscript"/>
              </w:rPr>
              <w:t>η</w:t>
            </w:r>
          </w:p>
          <w:p>
            <w:pPr>
              <w:pStyle w:val="style0"/>
              <w:jc w:val="center"/>
              <w:rPr/>
            </w:pPr>
            <w:r>
              <w:t xml:space="preserve">[10150-10490 </w:t>
            </w:r>
            <w:r>
              <w:rPr>
                <w:lang w:val="en-US"/>
              </w:rPr>
              <w:t>Hz</w:t>
            </w:r>
            <w:r>
              <w:t>]</w:t>
            </w:r>
          </w:p>
        </w:tc>
        <w:tc>
          <w:tcPr>
            <w:tcW w:w="1461" w:type="dxa"/>
            <w:tcBorders/>
          </w:tcPr>
          <w:p>
            <w:pPr>
              <w:pStyle w:val="style0"/>
              <w:jc w:val="center"/>
              <w:rPr>
                <w:vertAlign w:val="superscript"/>
              </w:rPr>
            </w:pPr>
            <w:r>
              <w:t>9</w:t>
            </w:r>
            <w:r>
              <w:rPr>
                <w:vertAlign w:val="superscript"/>
              </w:rPr>
              <w:t>η</w:t>
            </w:r>
            <w:r>
              <w:t>-10</w:t>
            </w:r>
            <w:r>
              <w:rPr>
                <w:vertAlign w:val="superscript"/>
              </w:rPr>
              <w:t>η</w:t>
            </w:r>
          </w:p>
          <w:p>
            <w:pPr>
              <w:pStyle w:val="style0"/>
              <w:jc w:val="center"/>
              <w:rPr>
                <w:vertAlign w:val="superscript"/>
              </w:rPr>
            </w:pPr>
            <w:r>
              <w:t xml:space="preserve">[9634-10382 </w:t>
            </w:r>
            <w:r>
              <w:rPr>
                <w:lang w:val="en-US"/>
              </w:rPr>
              <w:t>Hz</w:t>
            </w:r>
            <w:r>
              <w:t>]</w:t>
            </w:r>
          </w:p>
        </w:tc>
        <w:tc>
          <w:tcPr>
            <w:tcW w:w="1305" w:type="dxa"/>
            <w:tcBorders/>
          </w:tcPr>
          <w:p>
            <w:pPr>
              <w:pStyle w:val="style0"/>
              <w:jc w:val="center"/>
              <w:rPr>
                <w:sz w:val="24"/>
                <w:szCs w:val="24"/>
              </w:rPr>
            </w:pPr>
            <w:r>
              <w:t>11</w:t>
            </w:r>
            <w:r>
              <w:rPr>
                <w:vertAlign w:val="superscript"/>
              </w:rPr>
              <w:t>η</w:t>
            </w:r>
            <w:r>
              <w:t>-12</w:t>
            </w:r>
            <w:r>
              <w:rPr>
                <w:vertAlign w:val="superscript"/>
              </w:rPr>
              <w:t>η</w:t>
            </w:r>
            <w:r>
              <w:t xml:space="preserve"> [10025- 10494 </w:t>
            </w:r>
            <w:r>
              <w:rPr>
                <w:lang w:val="en-US"/>
              </w:rPr>
              <w:t>Hz</w:t>
            </w:r>
            <w:r>
              <w:rPr>
                <w:sz w:val="24"/>
                <w:szCs w:val="24"/>
              </w:rPr>
              <w:t>]</w:t>
            </w:r>
          </w:p>
        </w:tc>
        <w:tc>
          <w:tcPr>
            <w:tcW w:w="1485" w:type="dxa"/>
            <w:tcBorders/>
          </w:tcPr>
          <w:p>
            <w:pPr>
              <w:pStyle w:val="style0"/>
              <w:jc w:val="center"/>
              <w:rPr/>
            </w:pPr>
            <w:r>
              <w:t>10</w:t>
            </w:r>
            <w:r>
              <w:rPr>
                <w:vertAlign w:val="superscript"/>
              </w:rPr>
              <w:t>η</w:t>
            </w:r>
            <w:r>
              <w:t>-11</w:t>
            </w:r>
            <w:r>
              <w:rPr>
                <w:vertAlign w:val="superscript"/>
              </w:rPr>
              <w:t>η</w:t>
            </w:r>
          </w:p>
          <w:p>
            <w:pPr>
              <w:pStyle w:val="style0"/>
              <w:jc w:val="center"/>
              <w:rPr/>
            </w:pPr>
            <w:r>
              <w:t xml:space="preserve">[8197-9550 </w:t>
            </w:r>
            <w:r>
              <w:rPr>
                <w:lang w:val="en-US"/>
              </w:rPr>
              <w:t>Hz</w:t>
            </w:r>
            <w:r>
              <w:t>]</w:t>
            </w:r>
          </w:p>
        </w:tc>
        <w:tc>
          <w:tcPr>
            <w:tcW w:w="1281" w:type="dxa"/>
            <w:tcBorders/>
          </w:tcPr>
          <w:p>
            <w:pPr>
              <w:pStyle w:val="style0"/>
              <w:jc w:val="center"/>
              <w:rPr/>
            </w:pPr>
            <w:r>
              <w:t>11</w:t>
            </w:r>
            <w:r>
              <w:rPr>
                <w:vertAlign w:val="superscript"/>
              </w:rPr>
              <w:t>η</w:t>
            </w:r>
            <w:r>
              <w:t>-12</w:t>
            </w:r>
            <w:r>
              <w:rPr>
                <w:vertAlign w:val="superscript"/>
              </w:rPr>
              <w:t>η</w:t>
            </w:r>
            <w:r>
              <w:t xml:space="preserve"> </w:t>
            </w:r>
          </w:p>
          <w:p>
            <w:pPr>
              <w:pStyle w:val="style0"/>
              <w:jc w:val="center"/>
              <w:rPr/>
            </w:pPr>
            <w:r>
              <w:t xml:space="preserve">[9593-9805 </w:t>
            </w:r>
            <w:r>
              <w:rPr>
                <w:lang w:val="en-US"/>
              </w:rPr>
              <w:t>Hz</w:t>
            </w:r>
            <w:r>
              <w:t>]</w:t>
            </w:r>
          </w:p>
        </w:tc>
      </w:tr>
      <w:tr>
        <w:tblPrEx/>
        <w:trPr/>
        <w:tc>
          <w:tcPr>
            <w:tcW w:w="1382" w:type="dxa"/>
            <w:tcBorders/>
          </w:tcPr>
          <w:p>
            <w:pPr>
              <w:pStyle w:val="style0"/>
              <w:jc w:val="center"/>
              <w:rPr/>
            </w:pPr>
            <w:r>
              <w:t>4</w:t>
            </w:r>
            <w:r>
              <w:rPr>
                <w:vertAlign w:val="superscript"/>
              </w:rPr>
              <w:t>ο</w:t>
            </w:r>
            <w:r>
              <w:t xml:space="preserve"> </w:t>
            </w:r>
            <w:r>
              <w:rPr>
                <w:lang w:val="en-US"/>
              </w:rPr>
              <w:t>band gap</w:t>
            </w:r>
          </w:p>
        </w:tc>
        <w:tc>
          <w:tcPr>
            <w:tcW w:w="1382" w:type="dxa"/>
            <w:tcBorders/>
          </w:tcPr>
          <w:p>
            <w:pPr>
              <w:pStyle w:val="style0"/>
              <w:jc w:val="center"/>
              <w:rPr>
                <w:vertAlign w:val="superscript"/>
              </w:rPr>
            </w:pPr>
            <w:r>
              <w:t>11</w:t>
            </w:r>
            <w:r>
              <w:rPr>
                <w:vertAlign w:val="superscript"/>
              </w:rPr>
              <w:t>η</w:t>
            </w:r>
            <w:r>
              <w:t>-12</w:t>
            </w:r>
            <w:r>
              <w:rPr>
                <w:vertAlign w:val="superscript"/>
              </w:rPr>
              <w:t>η</w:t>
            </w:r>
          </w:p>
          <w:p>
            <w:pPr>
              <w:pStyle w:val="style0"/>
              <w:jc w:val="center"/>
              <w:rPr/>
            </w:pPr>
            <w:r>
              <w:t xml:space="preserve">[10714-13115 </w:t>
            </w:r>
            <w:r>
              <w:rPr>
                <w:lang w:val="en-US"/>
              </w:rPr>
              <w:t>Hz</w:t>
            </w:r>
            <w:r>
              <w:t>]</w:t>
            </w:r>
          </w:p>
        </w:tc>
        <w:tc>
          <w:tcPr>
            <w:tcW w:w="1461" w:type="dxa"/>
            <w:tcBorders/>
          </w:tcPr>
          <w:p>
            <w:pPr>
              <w:pStyle w:val="style0"/>
              <w:jc w:val="center"/>
              <w:rPr/>
            </w:pPr>
            <w:r>
              <w:t>13</w:t>
            </w:r>
            <w:r>
              <w:rPr>
                <w:vertAlign w:val="superscript"/>
              </w:rPr>
              <w:t>η</w:t>
            </w:r>
            <w:r>
              <w:t>-14</w:t>
            </w:r>
            <w:r>
              <w:rPr>
                <w:vertAlign w:val="superscript"/>
              </w:rPr>
              <w:t>η</w:t>
            </w:r>
          </w:p>
          <w:p>
            <w:pPr>
              <w:pStyle w:val="style0"/>
              <w:jc w:val="center"/>
              <w:rPr/>
            </w:pPr>
            <w:r>
              <w:t xml:space="preserve">[12443-13120 </w:t>
            </w:r>
            <w:r>
              <w:rPr>
                <w:lang w:val="en-US"/>
              </w:rPr>
              <w:t>Hz</w:t>
            </w:r>
            <w:r>
              <w:t>]</w:t>
            </w:r>
          </w:p>
        </w:tc>
        <w:tc>
          <w:tcPr>
            <w:tcW w:w="1305" w:type="dxa"/>
            <w:tcBorders/>
          </w:tcPr>
          <w:p>
            <w:pPr>
              <w:pStyle w:val="style0"/>
              <w:jc w:val="center"/>
              <w:rPr/>
            </w:pPr>
            <w:r>
              <w:t>13</w:t>
            </w:r>
            <w:r>
              <w:rPr>
                <w:vertAlign w:val="superscript"/>
              </w:rPr>
              <w:t>η</w:t>
            </w:r>
            <w:r>
              <w:t>-14</w:t>
            </w:r>
            <w:r>
              <w:rPr>
                <w:vertAlign w:val="superscript"/>
              </w:rPr>
              <w:t>η</w:t>
            </w:r>
            <w:r>
              <w:t xml:space="preserve"> [10690- 13111 </w:t>
            </w:r>
            <w:r>
              <w:rPr>
                <w:lang w:val="en-US"/>
              </w:rPr>
              <w:t>Hz</w:t>
            </w:r>
            <w:r>
              <w:t>]</w:t>
            </w:r>
          </w:p>
        </w:tc>
        <w:tc>
          <w:tcPr>
            <w:tcW w:w="1485" w:type="dxa"/>
            <w:tcBorders/>
          </w:tcPr>
          <w:p>
            <w:pPr>
              <w:pStyle w:val="style0"/>
              <w:jc w:val="center"/>
              <w:rPr/>
            </w:pPr>
            <w:r>
              <w:t>11</w:t>
            </w:r>
            <w:r>
              <w:rPr>
                <w:vertAlign w:val="superscript"/>
              </w:rPr>
              <w:t>η</w:t>
            </w:r>
            <w:r>
              <w:t>-12</w:t>
            </w:r>
            <w:r>
              <w:rPr>
                <w:vertAlign w:val="superscript"/>
              </w:rPr>
              <w:t>η</w:t>
            </w:r>
          </w:p>
          <w:p>
            <w:pPr>
              <w:pStyle w:val="style0"/>
              <w:jc w:val="center"/>
              <w:rPr/>
            </w:pPr>
            <w:r>
              <w:t xml:space="preserve">[9615-10488 </w:t>
            </w:r>
            <w:r>
              <w:rPr>
                <w:lang w:val="en-US"/>
              </w:rPr>
              <w:t>Hz</w:t>
            </w:r>
            <w:r>
              <w:t>]</w:t>
            </w:r>
          </w:p>
        </w:tc>
        <w:tc>
          <w:tcPr>
            <w:tcW w:w="1281" w:type="dxa"/>
            <w:tcBorders/>
          </w:tcPr>
          <w:p>
            <w:pPr>
              <w:pStyle w:val="style0"/>
              <w:jc w:val="center"/>
              <w:rPr/>
            </w:pPr>
            <w:r>
              <w:t>15</w:t>
            </w:r>
            <w:r>
              <w:rPr>
                <w:vertAlign w:val="superscript"/>
              </w:rPr>
              <w:t>η</w:t>
            </w:r>
            <w:r>
              <w:t>—16</w:t>
            </w:r>
            <w:r>
              <w:rPr>
                <w:vertAlign w:val="superscript"/>
              </w:rPr>
              <w:t>η</w:t>
            </w:r>
          </w:p>
          <w:p>
            <w:pPr>
              <w:pStyle w:val="style0"/>
              <w:jc w:val="center"/>
              <w:rPr/>
            </w:pPr>
            <w:r>
              <w:t xml:space="preserve">[11956-13096 </w:t>
            </w:r>
            <w:r>
              <w:rPr>
                <w:lang w:val="en-US"/>
              </w:rPr>
              <w:t>Hz</w:t>
            </w:r>
            <w:r>
              <w:t>]</w:t>
            </w:r>
          </w:p>
        </w:tc>
      </w:tr>
      <w:tr>
        <w:tblPrEx/>
        <w:trPr/>
        <w:tc>
          <w:tcPr>
            <w:tcW w:w="1382" w:type="dxa"/>
            <w:tcBorders/>
          </w:tcPr>
          <w:p>
            <w:pPr>
              <w:pStyle w:val="style0"/>
              <w:jc w:val="center"/>
              <w:rPr/>
            </w:pPr>
            <w:r>
              <w:t>5</w:t>
            </w:r>
            <w:r>
              <w:rPr>
                <w:vertAlign w:val="superscript"/>
              </w:rPr>
              <w:t xml:space="preserve">ο </w:t>
            </w:r>
            <w:r>
              <w:rPr>
                <w:lang w:val="en-US"/>
              </w:rPr>
              <w:t>band gap</w:t>
            </w:r>
          </w:p>
        </w:tc>
        <w:tc>
          <w:tcPr>
            <w:tcW w:w="1382" w:type="dxa"/>
            <w:tcBorders/>
          </w:tcPr>
          <w:p>
            <w:pPr>
              <w:pStyle w:val="style0"/>
              <w:jc w:val="center"/>
              <w:rPr/>
            </w:pPr>
            <w:r>
              <w:t>-</w:t>
            </w:r>
          </w:p>
        </w:tc>
        <w:tc>
          <w:tcPr>
            <w:tcW w:w="1461" w:type="dxa"/>
            <w:tcBorders/>
          </w:tcPr>
          <w:p>
            <w:pPr>
              <w:pStyle w:val="style0"/>
              <w:jc w:val="center"/>
              <w:rPr/>
            </w:pPr>
            <w:r>
              <w:t>14</w:t>
            </w:r>
            <w:r>
              <w:rPr>
                <w:vertAlign w:val="superscript"/>
              </w:rPr>
              <w:t>η</w:t>
            </w:r>
            <w:r>
              <w:t>-15</w:t>
            </w:r>
            <w:r>
              <w:rPr>
                <w:vertAlign w:val="superscript"/>
              </w:rPr>
              <w:t>η</w:t>
            </w:r>
          </w:p>
          <w:p>
            <w:pPr>
              <w:pStyle w:val="style0"/>
              <w:jc w:val="center"/>
              <w:rPr>
                <w:vertAlign w:val="superscript"/>
              </w:rPr>
            </w:pPr>
            <w:r>
              <w:t xml:space="preserve">[13553-13635 </w:t>
            </w:r>
            <w:r>
              <w:rPr>
                <w:lang w:val="en-US"/>
              </w:rPr>
              <w:t>Hz</w:t>
            </w:r>
            <w:r>
              <w:t>]</w:t>
            </w:r>
          </w:p>
          <w:p>
            <w:pPr>
              <w:pStyle w:val="style0"/>
              <w:jc w:val="center"/>
              <w:rPr/>
            </w:pPr>
          </w:p>
        </w:tc>
        <w:tc>
          <w:tcPr>
            <w:tcW w:w="1305" w:type="dxa"/>
            <w:tcBorders/>
          </w:tcPr>
          <w:p>
            <w:pPr>
              <w:pStyle w:val="style0"/>
              <w:jc w:val="center"/>
              <w:rPr/>
            </w:pPr>
            <w:r>
              <w:t>14</w:t>
            </w:r>
            <w:r>
              <w:rPr>
                <w:vertAlign w:val="superscript"/>
              </w:rPr>
              <w:t>η</w:t>
            </w:r>
            <w:r>
              <w:t>-15</w:t>
            </w:r>
            <w:r>
              <w:rPr>
                <w:vertAlign w:val="superscript"/>
              </w:rPr>
              <w:t>η</w:t>
            </w:r>
            <w:r>
              <w:t xml:space="preserve"> [13346- 13576 </w:t>
            </w:r>
            <w:r>
              <w:rPr>
                <w:lang w:val="en-US"/>
              </w:rPr>
              <w:t>Hz</w:t>
            </w:r>
            <w:r>
              <w:t>]</w:t>
            </w:r>
          </w:p>
        </w:tc>
        <w:tc>
          <w:tcPr>
            <w:tcW w:w="1485" w:type="dxa"/>
            <w:tcBorders/>
          </w:tcPr>
          <w:p>
            <w:pPr>
              <w:pStyle w:val="style0"/>
              <w:jc w:val="center"/>
              <w:rPr/>
            </w:pPr>
            <w:r>
              <w:t>13</w:t>
            </w:r>
            <w:r>
              <w:rPr>
                <w:vertAlign w:val="superscript"/>
              </w:rPr>
              <w:t>η</w:t>
            </w:r>
            <w:r>
              <w:t>-14</w:t>
            </w:r>
            <w:r>
              <w:rPr>
                <w:vertAlign w:val="superscript"/>
              </w:rPr>
              <w:t>η</w:t>
            </w:r>
          </w:p>
          <w:p>
            <w:pPr>
              <w:pStyle w:val="style0"/>
              <w:jc w:val="center"/>
              <w:rPr/>
            </w:pPr>
            <w:r>
              <w:t xml:space="preserve">[10676-12002 </w:t>
            </w:r>
            <w:r>
              <w:rPr>
                <w:lang w:val="en-US"/>
              </w:rPr>
              <w:t>Hz</w:t>
            </w:r>
            <w:r>
              <w:t>]</w:t>
            </w:r>
          </w:p>
        </w:tc>
        <w:tc>
          <w:tcPr>
            <w:tcW w:w="1281" w:type="dxa"/>
            <w:tcBorders/>
          </w:tcPr>
          <w:p>
            <w:pPr>
              <w:pStyle w:val="style0"/>
              <w:jc w:val="center"/>
              <w:rPr/>
            </w:pPr>
            <w:r>
              <w:t>17</w:t>
            </w:r>
            <w:r>
              <w:rPr>
                <w:vertAlign w:val="superscript"/>
              </w:rPr>
              <w:t>η</w:t>
            </w:r>
            <w:r>
              <w:t>-18</w:t>
            </w:r>
            <w:r>
              <w:rPr>
                <w:vertAlign w:val="superscript"/>
              </w:rPr>
              <w:t>η</w:t>
            </w:r>
          </w:p>
          <w:p>
            <w:pPr>
              <w:pStyle w:val="style0"/>
              <w:jc w:val="center"/>
              <w:rPr/>
            </w:pPr>
            <w:r>
              <w:t xml:space="preserve">[13668-14674 </w:t>
            </w:r>
            <w:r>
              <w:rPr>
                <w:lang w:val="en-US"/>
              </w:rPr>
              <w:t>Hz</w:t>
            </w:r>
            <w:r>
              <w:t>]</w:t>
            </w:r>
          </w:p>
        </w:tc>
      </w:tr>
      <w:tr>
        <w:tblPrEx/>
        <w:trPr/>
        <w:tc>
          <w:tcPr>
            <w:tcW w:w="1382" w:type="dxa"/>
            <w:tcBorders/>
          </w:tcPr>
          <w:p>
            <w:pPr>
              <w:pStyle w:val="style0"/>
              <w:jc w:val="center"/>
              <w:rPr/>
            </w:pPr>
            <w:r>
              <w:t>6</w:t>
            </w:r>
            <w:r>
              <w:rPr>
                <w:vertAlign w:val="superscript"/>
              </w:rPr>
              <w:t>ο</w:t>
            </w:r>
            <w:r>
              <w:t xml:space="preserve"> </w:t>
            </w:r>
            <w:r>
              <w:rPr>
                <w:lang w:val="en-US"/>
              </w:rPr>
              <w:t>band gap</w:t>
            </w:r>
          </w:p>
        </w:tc>
        <w:tc>
          <w:tcPr>
            <w:tcW w:w="1382" w:type="dxa"/>
            <w:tcBorders/>
          </w:tcPr>
          <w:p>
            <w:pPr>
              <w:pStyle w:val="style0"/>
              <w:jc w:val="center"/>
              <w:rPr/>
            </w:pPr>
            <w:r>
              <w:t>-</w:t>
            </w:r>
          </w:p>
        </w:tc>
        <w:tc>
          <w:tcPr>
            <w:tcW w:w="1461" w:type="dxa"/>
            <w:tcBorders/>
          </w:tcPr>
          <w:p>
            <w:pPr>
              <w:pStyle w:val="style0"/>
              <w:jc w:val="center"/>
              <w:rPr/>
            </w:pPr>
            <w:r>
              <w:t>15</w:t>
            </w:r>
            <w:r>
              <w:rPr>
                <w:vertAlign w:val="superscript"/>
              </w:rPr>
              <w:t>η</w:t>
            </w:r>
            <w:r>
              <w:t>-16</w:t>
            </w:r>
            <w:r>
              <w:rPr>
                <w:vertAlign w:val="superscript"/>
              </w:rPr>
              <w:t>η</w:t>
            </w:r>
          </w:p>
          <w:p>
            <w:pPr>
              <w:pStyle w:val="style0"/>
              <w:jc w:val="center"/>
              <w:rPr/>
            </w:pPr>
            <w:r>
              <w:t xml:space="preserve">[13786-14975 </w:t>
            </w:r>
            <w:r>
              <w:rPr>
                <w:lang w:val="en-US"/>
              </w:rPr>
              <w:t>Hz</w:t>
            </w:r>
            <w:r>
              <w:t>]</w:t>
            </w:r>
          </w:p>
        </w:tc>
        <w:tc>
          <w:tcPr>
            <w:tcW w:w="1305" w:type="dxa"/>
            <w:tcBorders/>
          </w:tcPr>
          <w:p>
            <w:pPr>
              <w:pStyle w:val="style0"/>
              <w:jc w:val="center"/>
              <w:rPr/>
            </w:pPr>
            <w:r>
              <w:t>15</w:t>
            </w:r>
            <w:r>
              <w:rPr>
                <w:vertAlign w:val="superscript"/>
              </w:rPr>
              <w:t>η</w:t>
            </w:r>
            <w:r>
              <w:t>-16</w:t>
            </w:r>
            <w:r>
              <w:rPr>
                <w:vertAlign w:val="superscript"/>
              </w:rPr>
              <w:t xml:space="preserve">η </w:t>
            </w:r>
            <w:r>
              <w:t xml:space="preserve">[13690- 14525 </w:t>
            </w:r>
            <w:r>
              <w:rPr>
                <w:lang w:val="en-US"/>
              </w:rPr>
              <w:t>Hz</w:t>
            </w:r>
            <w:r>
              <w:t>]</w:t>
            </w:r>
          </w:p>
        </w:tc>
        <w:tc>
          <w:tcPr>
            <w:tcW w:w="1485" w:type="dxa"/>
            <w:tcBorders/>
          </w:tcPr>
          <w:p>
            <w:pPr>
              <w:pStyle w:val="style0"/>
              <w:jc w:val="center"/>
              <w:rPr/>
            </w:pPr>
            <w:r>
              <w:t>19</w:t>
            </w:r>
            <w:r>
              <w:rPr>
                <w:vertAlign w:val="superscript"/>
              </w:rPr>
              <w:t>η</w:t>
            </w:r>
            <w:r>
              <w:t>-20</w:t>
            </w:r>
            <w:r>
              <w:rPr>
                <w:vertAlign w:val="superscript"/>
              </w:rPr>
              <w:t>η</w:t>
            </w:r>
            <w:r>
              <w:t xml:space="preserve"> </w:t>
            </w:r>
          </w:p>
          <w:p>
            <w:pPr>
              <w:pStyle w:val="style0"/>
              <w:jc w:val="center"/>
              <w:rPr/>
            </w:pPr>
            <w:r>
              <w:t xml:space="preserve">[15092-15834 </w:t>
            </w:r>
            <w:r>
              <w:rPr>
                <w:lang w:val="en-US"/>
              </w:rPr>
              <w:t>Hz</w:t>
            </w:r>
            <w:r>
              <w:t>]</w:t>
            </w:r>
          </w:p>
        </w:tc>
        <w:tc>
          <w:tcPr>
            <w:tcW w:w="1281" w:type="dxa"/>
            <w:tcBorders/>
          </w:tcPr>
          <w:p>
            <w:pPr>
              <w:pStyle w:val="style0"/>
              <w:jc w:val="center"/>
              <w:rPr/>
            </w:pPr>
            <w:r>
              <w:t>19</w:t>
            </w:r>
            <w:r>
              <w:rPr>
                <w:vertAlign w:val="superscript"/>
              </w:rPr>
              <w:t>η</w:t>
            </w:r>
            <w:r>
              <w:t>-20</w:t>
            </w:r>
            <w:r>
              <w:rPr>
                <w:vertAlign w:val="superscript"/>
              </w:rPr>
              <w:t>η</w:t>
            </w:r>
          </w:p>
          <w:p>
            <w:pPr>
              <w:pStyle w:val="style0"/>
              <w:jc w:val="center"/>
              <w:rPr/>
            </w:pPr>
            <w:r>
              <w:t xml:space="preserve">[15028-15576 </w:t>
            </w:r>
            <w:r>
              <w:rPr>
                <w:lang w:val="en-US"/>
              </w:rPr>
              <w:t>Hz</w:t>
            </w:r>
            <w:r>
              <w:t>]</w:t>
            </w:r>
          </w:p>
        </w:tc>
      </w:tr>
      <w:tr>
        <w:tblPrEx/>
        <w:trPr/>
        <w:tc>
          <w:tcPr>
            <w:tcW w:w="1382" w:type="dxa"/>
            <w:tcBorders/>
          </w:tcPr>
          <w:p>
            <w:pPr>
              <w:pStyle w:val="style0"/>
              <w:jc w:val="center"/>
              <w:rPr/>
            </w:pPr>
            <w:r>
              <w:t>7</w:t>
            </w:r>
            <w:r>
              <w:rPr>
                <w:vertAlign w:val="superscript"/>
              </w:rPr>
              <w:t>ο</w:t>
            </w:r>
            <w:r>
              <w:t xml:space="preserve"> </w:t>
            </w:r>
            <w:r>
              <w:rPr>
                <w:lang w:val="en-US"/>
              </w:rPr>
              <w:t>band gap</w:t>
            </w:r>
          </w:p>
        </w:tc>
        <w:tc>
          <w:tcPr>
            <w:tcW w:w="1382" w:type="dxa"/>
            <w:tcBorders/>
          </w:tcPr>
          <w:p>
            <w:pPr>
              <w:pStyle w:val="style0"/>
              <w:jc w:val="center"/>
              <w:rPr/>
            </w:pPr>
            <w:r>
              <w:t>-</w:t>
            </w:r>
          </w:p>
        </w:tc>
        <w:tc>
          <w:tcPr>
            <w:tcW w:w="1461" w:type="dxa"/>
            <w:tcBorders/>
          </w:tcPr>
          <w:p>
            <w:pPr>
              <w:pStyle w:val="style0"/>
              <w:jc w:val="center"/>
              <w:rPr/>
            </w:pPr>
            <w:r>
              <w:t>17</w:t>
            </w:r>
            <w:r>
              <w:rPr>
                <w:vertAlign w:val="superscript"/>
              </w:rPr>
              <w:t>η</w:t>
            </w:r>
            <w:r>
              <w:t>-18</w:t>
            </w:r>
            <w:r>
              <w:rPr>
                <w:vertAlign w:val="superscript"/>
              </w:rPr>
              <w:t>η</w:t>
            </w:r>
          </w:p>
          <w:p>
            <w:pPr>
              <w:pStyle w:val="style0"/>
              <w:jc w:val="center"/>
              <w:rPr/>
            </w:pPr>
            <w:r>
              <w:t xml:space="preserve">[15046-15835 </w:t>
            </w:r>
            <w:r>
              <w:rPr>
                <w:lang w:val="en-US"/>
              </w:rPr>
              <w:t>Hz</w:t>
            </w:r>
            <w:r>
              <w:t>]</w:t>
            </w:r>
          </w:p>
        </w:tc>
        <w:tc>
          <w:tcPr>
            <w:tcW w:w="1305" w:type="dxa"/>
            <w:tcBorders/>
          </w:tcPr>
          <w:p>
            <w:pPr>
              <w:pStyle w:val="style0"/>
              <w:jc w:val="center"/>
              <w:rPr/>
            </w:pPr>
            <w:r>
              <w:t>17</w:t>
            </w:r>
            <w:r>
              <w:rPr>
                <w:vertAlign w:val="superscript"/>
              </w:rPr>
              <w:t>η</w:t>
            </w:r>
            <w:r>
              <w:t>-18</w:t>
            </w:r>
            <w:r>
              <w:rPr>
                <w:vertAlign w:val="superscript"/>
              </w:rPr>
              <w:t>η</w:t>
            </w:r>
            <w:r>
              <w:t xml:space="preserve"> [15000- 15390 </w:t>
            </w:r>
            <w:r>
              <w:rPr>
                <w:lang w:val="en-US"/>
              </w:rPr>
              <w:t>Hz</w:t>
            </w:r>
            <w:r>
              <w:t>]</w:t>
            </w:r>
          </w:p>
        </w:tc>
        <w:tc>
          <w:tcPr>
            <w:tcW w:w="1485" w:type="dxa"/>
            <w:tcBorders/>
          </w:tcPr>
          <w:p>
            <w:pPr>
              <w:pStyle w:val="style0"/>
              <w:jc w:val="center"/>
              <w:rPr/>
            </w:pPr>
            <w:r>
              <w:t>-</w:t>
            </w:r>
          </w:p>
        </w:tc>
        <w:tc>
          <w:tcPr>
            <w:tcW w:w="1281" w:type="dxa"/>
            <w:tcBorders/>
          </w:tcPr>
          <w:p>
            <w:pPr>
              <w:pStyle w:val="style0"/>
              <w:jc w:val="center"/>
              <w:rPr/>
            </w:pPr>
            <w:r>
              <w:t>-</w:t>
            </w:r>
          </w:p>
        </w:tc>
      </w:tr>
      <w:tr>
        <w:tblPrEx/>
        <w:trPr/>
        <w:tc>
          <w:tcPr>
            <w:tcW w:w="1382" w:type="dxa"/>
            <w:tcBorders/>
          </w:tcPr>
          <w:p>
            <w:pPr>
              <w:pStyle w:val="style0"/>
              <w:jc w:val="center"/>
              <w:rPr/>
            </w:pPr>
            <w:r>
              <w:t>8</w:t>
            </w:r>
            <w:r>
              <w:rPr>
                <w:vertAlign w:val="superscript"/>
              </w:rPr>
              <w:t>ο</w:t>
            </w:r>
            <w:r>
              <w:t xml:space="preserve"> </w:t>
            </w:r>
            <w:r>
              <w:rPr>
                <w:lang w:val="en-US"/>
              </w:rPr>
              <w:t>band gap</w:t>
            </w:r>
          </w:p>
        </w:tc>
        <w:tc>
          <w:tcPr>
            <w:tcW w:w="1382" w:type="dxa"/>
            <w:tcBorders/>
          </w:tcPr>
          <w:p>
            <w:pPr>
              <w:pStyle w:val="style0"/>
              <w:jc w:val="center"/>
              <w:rPr/>
            </w:pPr>
            <w:r>
              <w:t>-</w:t>
            </w:r>
          </w:p>
        </w:tc>
        <w:tc>
          <w:tcPr>
            <w:tcW w:w="1461" w:type="dxa"/>
            <w:tcBorders/>
          </w:tcPr>
          <w:p>
            <w:pPr>
              <w:pStyle w:val="style0"/>
              <w:jc w:val="center"/>
              <w:rPr>
                <w:vertAlign w:val="superscript"/>
              </w:rPr>
            </w:pPr>
            <w:r>
              <w:t>19</w:t>
            </w:r>
            <w:r>
              <w:rPr>
                <w:vertAlign w:val="superscript"/>
              </w:rPr>
              <w:t>η</w:t>
            </w:r>
            <w:r>
              <w:t>-20</w:t>
            </w:r>
            <w:r>
              <w:rPr>
                <w:vertAlign w:val="superscript"/>
              </w:rPr>
              <w:t>η</w:t>
            </w:r>
          </w:p>
          <w:p>
            <w:pPr>
              <w:pStyle w:val="style0"/>
              <w:jc w:val="center"/>
              <w:rPr/>
            </w:pPr>
            <w:r>
              <w:t xml:space="preserve">[15857-16018 </w:t>
            </w:r>
            <w:r>
              <w:rPr>
                <w:lang w:val="en-US"/>
              </w:rPr>
              <w:t>Hz</w:t>
            </w:r>
            <w:r>
              <w:t>]</w:t>
            </w:r>
          </w:p>
        </w:tc>
        <w:tc>
          <w:tcPr>
            <w:tcW w:w="1305" w:type="dxa"/>
            <w:tcBorders/>
          </w:tcPr>
          <w:p>
            <w:pPr>
              <w:pStyle w:val="style0"/>
              <w:jc w:val="center"/>
              <w:rPr/>
            </w:pPr>
            <w:r>
              <w:t>-</w:t>
            </w:r>
          </w:p>
        </w:tc>
        <w:tc>
          <w:tcPr>
            <w:tcW w:w="1485" w:type="dxa"/>
            <w:tcBorders/>
          </w:tcPr>
          <w:p>
            <w:pPr>
              <w:pStyle w:val="style0"/>
              <w:jc w:val="center"/>
              <w:rPr/>
            </w:pPr>
            <w:r>
              <w:t>-</w:t>
            </w:r>
          </w:p>
        </w:tc>
        <w:tc>
          <w:tcPr>
            <w:tcW w:w="1281" w:type="dxa"/>
            <w:tcBorders/>
          </w:tcPr>
          <w:p>
            <w:pPr>
              <w:pStyle w:val="style0"/>
              <w:jc w:val="center"/>
              <w:rPr/>
            </w:pPr>
            <w:r>
              <w:t>-</w:t>
            </w:r>
          </w:p>
        </w:tc>
      </w:tr>
    </w:tbl>
    <w:p>
      <w:pPr>
        <w:pStyle w:val="style0"/>
        <w:spacing w:before="240"/>
        <w:rPr/>
      </w:pPr>
      <w:r>
        <w:t xml:space="preserve">Από τα αποτελέσματα </w:t>
      </w:r>
      <w:r>
        <w:t>παρατηρείται</w:t>
      </w:r>
      <w:r>
        <w:t xml:space="preserve"> ότι με την σταδιακή αύξηση του </w:t>
      </w:r>
      <w:r>
        <w:rPr>
          <w:lang w:val="en-US"/>
        </w:rPr>
        <w:t>l</w:t>
      </w:r>
      <w:r>
        <w:t xml:space="preserve"> </w:t>
      </w:r>
      <w:r>
        <w:t>φαίνεται</w:t>
      </w:r>
      <w:r>
        <w:t xml:space="preserve"> και </w:t>
      </w:r>
      <w:r>
        <w:t xml:space="preserve">η </w:t>
      </w:r>
      <w:r>
        <w:t>σταδιακή εξαφάνιση των χασμάτων μέχρι την 10</w:t>
      </w:r>
      <w:r>
        <w:rPr>
          <w:vertAlign w:val="superscript"/>
        </w:rPr>
        <w:t>η</w:t>
      </w:r>
      <w:r>
        <w:t xml:space="preserve"> ιδιοσυχνότητα.</w:t>
      </w:r>
    </w:p>
    <w:p>
      <w:pPr>
        <w:pStyle w:val="style0"/>
        <w:rPr/>
      </w:pPr>
    </w:p>
    <w:p>
      <w:pPr>
        <w:pStyle w:val="style0"/>
        <w:rPr>
          <w:rFonts w:ascii="Calibri Light" w:cs="宋体" w:eastAsia="宋体" w:hAnsi="Calibri Light"/>
          <w:color w:val="2f5496"/>
          <w:sz w:val="26"/>
          <w:szCs w:val="26"/>
        </w:rPr>
      </w:pPr>
      <w:r>
        <w:br w:type="page"/>
      </w:r>
    </w:p>
    <w:bookmarkStart w:id="73" w:name="_Toc66524618"/>
    <w:bookmarkStart w:id="74" w:name="_Toc77270455"/>
    <w:p>
      <w:pPr>
        <w:pStyle w:val="style2"/>
        <w:rPr/>
      </w:pPr>
      <w:r>
        <w:t xml:space="preserve">Παραμετροποίηση πυκνότητας κυκλικού εγκλείσματος </w:t>
      </w:r>
      <w:r>
        <w:t>(</w:t>
      </w:r>
      <w:r>
        <w:t>ρ</w:t>
      </w:r>
      <w:r>
        <w:t>)</w:t>
      </w:r>
      <w:bookmarkEnd w:id="73"/>
      <w:bookmarkEnd w:id="74"/>
    </w:p>
    <w:p>
      <w:pPr>
        <w:pStyle w:val="style0"/>
        <w:rPr/>
      </w:pPr>
    </w:p>
    <w:p>
      <w:pPr>
        <w:pStyle w:val="style0"/>
        <w:spacing w:before="240" w:lineRule="auto" w:line="360"/>
        <w:rPr/>
      </w:pPr>
      <w:r>
        <w:t>Συνοψίζοντας τα αποτελέσματα σε έναν πίνακα έχουμε:</w:t>
      </w:r>
    </w:p>
    <w:tbl>
      <w:tblPr>
        <w:tblStyle w:val="style154"/>
        <w:tblW w:w="0" w:type="auto"/>
        <w:tblLook w:val="04A0" w:firstRow="1" w:lastRow="0" w:firstColumn="1" w:lastColumn="0" w:noHBand="0" w:noVBand="1"/>
      </w:tblPr>
      <w:tblGrid>
        <w:gridCol w:w="1382"/>
        <w:gridCol w:w="1313"/>
        <w:gridCol w:w="1452"/>
        <w:gridCol w:w="1383"/>
        <w:gridCol w:w="1383"/>
        <w:gridCol w:w="1383"/>
      </w:tblGrid>
      <w:tr>
        <w:trPr/>
        <w:tc>
          <w:tcPr>
            <w:tcW w:w="1382" w:type="dxa"/>
            <w:tcBorders/>
          </w:tcPr>
          <w:p>
            <w:pPr>
              <w:pStyle w:val="style0"/>
              <w:jc w:val="center"/>
              <w:rPr/>
            </w:pPr>
          </w:p>
        </w:tc>
        <w:tc>
          <w:tcPr>
            <w:tcW w:w="1313" w:type="dxa"/>
            <w:tcBorders/>
          </w:tcPr>
          <w:p>
            <w:pPr>
              <w:pStyle w:val="style0"/>
              <w:jc w:val="center"/>
              <w:rPr>
                <w:lang w:val="en-US"/>
              </w:rPr>
            </w:pPr>
            <w:r>
              <w:t>ρ=7160</w:t>
            </w:r>
            <w:r>
              <w:rPr>
                <w:lang w:val="en-US"/>
              </w:rPr>
              <w:t xml:space="preserve"> kg/m</w:t>
            </w:r>
            <w:r>
              <w:rPr>
                <w:vertAlign w:val="superscript"/>
                <w:lang w:val="en-US"/>
              </w:rPr>
              <w:t>3</w:t>
            </w:r>
          </w:p>
        </w:tc>
        <w:tc>
          <w:tcPr>
            <w:tcW w:w="1452" w:type="dxa"/>
            <w:tcBorders/>
          </w:tcPr>
          <w:p>
            <w:pPr>
              <w:pStyle w:val="style0"/>
              <w:jc w:val="center"/>
              <w:rPr>
                <w:lang w:val="en-US"/>
              </w:rPr>
            </w:pPr>
            <w:r>
              <w:t>ρ=</w:t>
            </w:r>
            <w:r>
              <w:rPr>
                <w:lang w:val="en-US"/>
              </w:rPr>
              <w:t>80</w:t>
            </w:r>
            <w:r>
              <w:t>60</w:t>
            </w:r>
            <w:r>
              <w:rPr>
                <w:lang w:val="en-US"/>
              </w:rPr>
              <w:t xml:space="preserve"> kg/m</w:t>
            </w:r>
            <w:r>
              <w:rPr>
                <w:vertAlign w:val="superscript"/>
                <w:lang w:val="en-US"/>
              </w:rPr>
              <w:t>3</w:t>
            </w:r>
          </w:p>
        </w:tc>
        <w:tc>
          <w:tcPr>
            <w:tcW w:w="1383" w:type="dxa"/>
            <w:tcBorders/>
          </w:tcPr>
          <w:p>
            <w:pPr>
              <w:pStyle w:val="style0"/>
              <w:jc w:val="center"/>
              <w:rPr>
                <w:lang w:val="en-US"/>
              </w:rPr>
            </w:pPr>
            <w:r>
              <w:t>ρ=</w:t>
            </w:r>
            <w:r>
              <w:rPr>
                <w:lang w:val="en-US"/>
              </w:rPr>
              <w:t>89</w:t>
            </w:r>
            <w:r>
              <w:t>60</w:t>
            </w:r>
            <w:r>
              <w:rPr>
                <w:lang w:val="en-US"/>
              </w:rPr>
              <w:t xml:space="preserve"> kg/m</w:t>
            </w:r>
            <w:r>
              <w:rPr>
                <w:vertAlign w:val="superscript"/>
                <w:lang w:val="en-US"/>
              </w:rPr>
              <w:t>3</w:t>
            </w:r>
          </w:p>
        </w:tc>
        <w:tc>
          <w:tcPr>
            <w:tcW w:w="1383" w:type="dxa"/>
            <w:tcBorders/>
          </w:tcPr>
          <w:p>
            <w:pPr>
              <w:pStyle w:val="style0"/>
              <w:jc w:val="center"/>
              <w:rPr>
                <w:lang w:val="en-US"/>
              </w:rPr>
            </w:pPr>
            <w:r>
              <w:t>ρ=9860</w:t>
            </w:r>
            <w:r>
              <w:rPr>
                <w:lang w:val="en-US"/>
              </w:rPr>
              <w:t xml:space="preserve"> kg/m</w:t>
            </w:r>
            <w:r>
              <w:rPr>
                <w:vertAlign w:val="superscript"/>
                <w:lang w:val="en-US"/>
              </w:rPr>
              <w:t>3</w:t>
            </w:r>
          </w:p>
        </w:tc>
        <w:tc>
          <w:tcPr>
            <w:tcW w:w="1383" w:type="dxa"/>
            <w:tcBorders/>
          </w:tcPr>
          <w:p>
            <w:pPr>
              <w:pStyle w:val="style0"/>
              <w:jc w:val="center"/>
              <w:rPr>
                <w:lang w:val="en-US"/>
              </w:rPr>
            </w:pPr>
            <w:r>
              <w:t>ρ=</w:t>
            </w:r>
            <w:r>
              <w:rPr>
                <w:lang w:val="en-US"/>
              </w:rPr>
              <w:t>107</w:t>
            </w:r>
            <w:r>
              <w:t>60</w:t>
            </w:r>
            <w:r>
              <w:rPr>
                <w:lang w:val="en-US"/>
              </w:rPr>
              <w:t xml:space="preserve"> kg/m</w:t>
            </w:r>
            <w:r>
              <w:rPr>
                <w:vertAlign w:val="superscript"/>
                <w:lang w:val="en-US"/>
              </w:rPr>
              <w:t>3</w:t>
            </w:r>
          </w:p>
        </w:tc>
      </w:tr>
      <w:tr>
        <w:tblPrEx/>
        <w:trPr/>
        <w:tc>
          <w:tcPr>
            <w:tcW w:w="1382" w:type="dxa"/>
            <w:tcBorders/>
          </w:tcPr>
          <w:p>
            <w:pPr>
              <w:pStyle w:val="style0"/>
              <w:jc w:val="center"/>
              <w:rPr>
                <w:lang w:val="en-US"/>
              </w:rPr>
            </w:pPr>
            <w:r>
              <w:t>1</w:t>
            </w:r>
            <w:r>
              <w:rPr>
                <w:vertAlign w:val="superscript"/>
              </w:rPr>
              <w:t>ο</w:t>
            </w:r>
            <w:r>
              <w:t xml:space="preserve"> </w:t>
            </w:r>
            <w:r>
              <w:rPr>
                <w:lang w:val="en-US"/>
              </w:rPr>
              <w:t>band gap</w:t>
            </w:r>
          </w:p>
        </w:tc>
        <w:tc>
          <w:tcPr>
            <w:tcW w:w="1313" w:type="dxa"/>
            <w:tcBorders/>
          </w:tcPr>
          <w:p>
            <w:pPr>
              <w:pStyle w:val="style0"/>
              <w:jc w:val="center"/>
              <w:rPr>
                <w:vertAlign w:val="superscript"/>
              </w:rPr>
            </w:pPr>
            <w:r>
              <w:t>2</w:t>
            </w:r>
            <w:r>
              <w:rPr>
                <w:vertAlign w:val="superscript"/>
              </w:rPr>
              <w:t>η</w:t>
            </w:r>
            <w:r>
              <w:t>-3</w:t>
            </w:r>
            <w:r>
              <w:rPr>
                <w:vertAlign w:val="superscript"/>
              </w:rPr>
              <w:t>η</w:t>
            </w:r>
          </w:p>
          <w:p>
            <w:pPr>
              <w:pStyle w:val="style0"/>
              <w:jc w:val="center"/>
              <w:rPr>
                <w:lang w:val="en-US"/>
              </w:rPr>
            </w:pPr>
            <w:r>
              <w:t>[2935-3028</w:t>
            </w:r>
            <w:r>
              <w:rPr>
                <w:lang w:val="en-US"/>
              </w:rPr>
              <w:t xml:space="preserve"> Hz]</w:t>
            </w:r>
          </w:p>
        </w:tc>
        <w:tc>
          <w:tcPr>
            <w:tcW w:w="1452" w:type="dxa"/>
            <w:tcBorders/>
          </w:tcPr>
          <w:p>
            <w:pPr>
              <w:pStyle w:val="style0"/>
              <w:jc w:val="center"/>
              <w:rPr/>
            </w:pPr>
            <w:r>
              <w:t>2</w:t>
            </w:r>
            <w:r>
              <w:rPr>
                <w:vertAlign w:val="superscript"/>
              </w:rPr>
              <w:t>η</w:t>
            </w:r>
            <w:r>
              <w:t>-3</w:t>
            </w:r>
            <w:r>
              <w:rPr>
                <w:vertAlign w:val="superscript"/>
              </w:rPr>
              <w:t>η</w:t>
            </w:r>
          </w:p>
          <w:p>
            <w:pPr>
              <w:pStyle w:val="style0"/>
              <w:jc w:val="center"/>
              <w:rPr>
                <w:lang w:val="en-US"/>
              </w:rPr>
            </w:pPr>
            <w:r>
              <w:t>[2933-3030</w:t>
            </w:r>
            <w:r>
              <w:rPr>
                <w:lang w:val="en-US"/>
              </w:rPr>
              <w:t xml:space="preserve"> Hz]</w:t>
            </w:r>
          </w:p>
        </w:tc>
        <w:tc>
          <w:tcPr>
            <w:tcW w:w="1383" w:type="dxa"/>
            <w:tcBorders/>
          </w:tcPr>
          <w:p>
            <w:pPr>
              <w:pStyle w:val="style0"/>
              <w:jc w:val="center"/>
              <w:rPr/>
            </w:pPr>
            <w:r>
              <w:t>4</w:t>
            </w:r>
            <w:r>
              <w:rPr>
                <w:vertAlign w:val="superscript"/>
              </w:rPr>
              <w:t>η</w:t>
            </w:r>
            <w:r>
              <w:t>-5</w:t>
            </w:r>
            <w:r>
              <w:rPr>
                <w:vertAlign w:val="superscript"/>
              </w:rPr>
              <w:t>η</w:t>
            </w:r>
            <w:r>
              <w:t xml:space="preserve"> </w:t>
            </w:r>
          </w:p>
          <w:p>
            <w:pPr>
              <w:pStyle w:val="style0"/>
              <w:jc w:val="center"/>
              <w:rPr/>
            </w:pPr>
            <w:r>
              <w:t xml:space="preserve">[3030- 3148 </w:t>
            </w:r>
            <w:r>
              <w:rPr>
                <w:lang w:val="en-US"/>
              </w:rPr>
              <w:t>Hz</w:t>
            </w:r>
            <w:r>
              <w:t>]</w:t>
            </w:r>
          </w:p>
        </w:tc>
        <w:tc>
          <w:tcPr>
            <w:tcW w:w="1383" w:type="dxa"/>
            <w:tcBorders/>
          </w:tcPr>
          <w:p>
            <w:pPr>
              <w:pStyle w:val="style0"/>
              <w:jc w:val="center"/>
              <w:rPr/>
            </w:pPr>
            <w:r>
              <w:t>10</w:t>
            </w:r>
            <w:r>
              <w:rPr>
                <w:vertAlign w:val="superscript"/>
              </w:rPr>
              <w:t>η</w:t>
            </w:r>
            <w:r>
              <w:t>-11</w:t>
            </w:r>
            <w:r>
              <w:rPr>
                <w:vertAlign w:val="superscript"/>
              </w:rPr>
              <w:t>η</w:t>
            </w:r>
          </w:p>
          <w:p>
            <w:pPr>
              <w:pStyle w:val="style0"/>
              <w:jc w:val="center"/>
              <w:rPr>
                <w:lang w:val="en-US"/>
              </w:rPr>
            </w:pPr>
            <w:r>
              <w:t>[9460-9500</w:t>
            </w:r>
            <w:r>
              <w:rPr>
                <w:lang w:val="en-US"/>
              </w:rPr>
              <w:t xml:space="preserve"> Hz]</w:t>
            </w:r>
          </w:p>
        </w:tc>
        <w:tc>
          <w:tcPr>
            <w:tcW w:w="1383" w:type="dxa"/>
            <w:tcBorders/>
          </w:tcPr>
          <w:p>
            <w:pPr>
              <w:pStyle w:val="style0"/>
              <w:jc w:val="center"/>
              <w:rPr/>
            </w:pPr>
            <w:r>
              <w:t>4</w:t>
            </w:r>
            <w:r>
              <w:rPr>
                <w:vertAlign w:val="superscript"/>
              </w:rPr>
              <w:t>η</w:t>
            </w:r>
            <w:r>
              <w:t>-5</w:t>
            </w:r>
            <w:r>
              <w:rPr>
                <w:vertAlign w:val="superscript"/>
              </w:rPr>
              <w:t>η</w:t>
            </w:r>
          </w:p>
          <w:p>
            <w:pPr>
              <w:pStyle w:val="style0"/>
              <w:jc w:val="center"/>
              <w:rPr>
                <w:lang w:val="en-US"/>
              </w:rPr>
            </w:pPr>
            <w:r>
              <w:t>[3010-3030</w:t>
            </w:r>
            <w:r>
              <w:rPr>
                <w:lang w:val="en-US"/>
              </w:rPr>
              <w:t xml:space="preserve"> Hz]</w:t>
            </w:r>
          </w:p>
        </w:tc>
      </w:tr>
      <w:tr>
        <w:tblPrEx/>
        <w:trPr/>
        <w:tc>
          <w:tcPr>
            <w:tcW w:w="1382" w:type="dxa"/>
            <w:tcBorders/>
          </w:tcPr>
          <w:p>
            <w:pPr>
              <w:pStyle w:val="style0"/>
              <w:jc w:val="center"/>
              <w:rPr/>
            </w:pPr>
            <w:r>
              <w:t>2</w:t>
            </w:r>
            <w:r>
              <w:rPr>
                <w:vertAlign w:val="superscript"/>
              </w:rPr>
              <w:t>ο</w:t>
            </w:r>
            <w:r>
              <w:t xml:space="preserve"> </w:t>
            </w:r>
            <w:r>
              <w:rPr>
                <w:lang w:val="en-US"/>
              </w:rPr>
              <w:t>band gap</w:t>
            </w:r>
          </w:p>
        </w:tc>
        <w:tc>
          <w:tcPr>
            <w:tcW w:w="1313" w:type="dxa"/>
            <w:tcBorders/>
          </w:tcPr>
          <w:p>
            <w:pPr>
              <w:pStyle w:val="style0"/>
              <w:jc w:val="center"/>
              <w:rPr/>
            </w:pPr>
            <w:r>
              <w:t>4</w:t>
            </w:r>
            <w:r>
              <w:rPr>
                <w:vertAlign w:val="superscript"/>
              </w:rPr>
              <w:t>η</w:t>
            </w:r>
            <w:r>
              <w:t>-5</w:t>
            </w:r>
            <w:r>
              <w:rPr>
                <w:vertAlign w:val="superscript"/>
              </w:rPr>
              <w:t>η</w:t>
            </w:r>
          </w:p>
          <w:p>
            <w:pPr>
              <w:pStyle w:val="style0"/>
              <w:jc w:val="center"/>
              <w:rPr>
                <w:lang w:val="en-US"/>
              </w:rPr>
            </w:pPr>
            <w:r>
              <w:t>[3260-3443</w:t>
            </w:r>
            <w:r>
              <w:rPr>
                <w:lang w:val="en-US"/>
              </w:rPr>
              <w:t xml:space="preserve"> Hz]</w:t>
            </w:r>
          </w:p>
        </w:tc>
        <w:tc>
          <w:tcPr>
            <w:tcW w:w="1452" w:type="dxa"/>
            <w:tcBorders/>
          </w:tcPr>
          <w:p>
            <w:pPr>
              <w:pStyle w:val="style0"/>
              <w:jc w:val="center"/>
              <w:rPr/>
            </w:pPr>
            <w:r>
              <w:t>4</w:t>
            </w:r>
            <w:r>
              <w:rPr>
                <w:vertAlign w:val="superscript"/>
              </w:rPr>
              <w:t>η</w:t>
            </w:r>
            <w:r>
              <w:t>-5</w:t>
            </w:r>
            <w:r>
              <w:rPr>
                <w:vertAlign w:val="superscript"/>
              </w:rPr>
              <w:t>η</w:t>
            </w:r>
          </w:p>
          <w:p>
            <w:pPr>
              <w:pStyle w:val="style0"/>
              <w:jc w:val="center"/>
              <w:rPr/>
            </w:pPr>
            <w:r>
              <w:t>[3091-3285</w:t>
            </w:r>
            <w:r>
              <w:rPr>
                <w:lang w:val="en-US"/>
              </w:rPr>
              <w:t xml:space="preserve"> Hz]</w:t>
            </w:r>
          </w:p>
        </w:tc>
        <w:tc>
          <w:tcPr>
            <w:tcW w:w="1383" w:type="dxa"/>
            <w:tcBorders/>
          </w:tcPr>
          <w:p>
            <w:pPr>
              <w:pStyle w:val="style0"/>
              <w:jc w:val="center"/>
              <w:rPr/>
            </w:pPr>
            <w:r>
              <w:t>10</w:t>
            </w:r>
            <w:r>
              <w:rPr>
                <w:vertAlign w:val="superscript"/>
              </w:rPr>
              <w:t>η</w:t>
            </w:r>
            <w:r>
              <w:t>-11</w:t>
            </w:r>
            <w:r>
              <w:rPr>
                <w:vertAlign w:val="superscript"/>
              </w:rPr>
              <w:t>η</w:t>
            </w:r>
            <w:r>
              <w:t xml:space="preserve"> [9505- 9550 </w:t>
            </w:r>
            <w:r>
              <w:rPr>
                <w:lang w:val="en-US"/>
              </w:rPr>
              <w:t>Hz</w:t>
            </w:r>
            <w:r>
              <w:t>]</w:t>
            </w:r>
          </w:p>
        </w:tc>
        <w:tc>
          <w:tcPr>
            <w:tcW w:w="1383" w:type="dxa"/>
            <w:tcBorders/>
          </w:tcPr>
          <w:p>
            <w:pPr>
              <w:pStyle w:val="style0"/>
              <w:jc w:val="center"/>
              <w:rPr/>
            </w:pPr>
            <w:r>
              <w:t>11</w:t>
            </w:r>
            <w:r>
              <w:rPr>
                <w:vertAlign w:val="superscript"/>
              </w:rPr>
              <w:t>η</w:t>
            </w:r>
            <w:r>
              <w:t>-12</w:t>
            </w:r>
            <w:r>
              <w:rPr>
                <w:vertAlign w:val="superscript"/>
              </w:rPr>
              <w:t>η</w:t>
            </w:r>
          </w:p>
          <w:p>
            <w:pPr>
              <w:pStyle w:val="style0"/>
              <w:jc w:val="center"/>
              <w:rPr>
                <w:lang w:val="en-US"/>
              </w:rPr>
            </w:pPr>
            <w:r>
              <w:t>[10020-10485</w:t>
            </w:r>
            <w:r>
              <w:rPr>
                <w:lang w:val="en-US"/>
              </w:rPr>
              <w:t xml:space="preserve"> Hz]</w:t>
            </w:r>
          </w:p>
        </w:tc>
        <w:tc>
          <w:tcPr>
            <w:tcW w:w="1383" w:type="dxa"/>
            <w:tcBorders/>
          </w:tcPr>
          <w:p>
            <w:pPr>
              <w:pStyle w:val="style0"/>
              <w:jc w:val="center"/>
              <w:rPr/>
            </w:pPr>
            <w:r>
              <w:rPr>
                <w:lang w:val="en-US"/>
              </w:rPr>
              <w:t>10</w:t>
            </w:r>
            <w:r>
              <w:rPr>
                <w:vertAlign w:val="superscript"/>
              </w:rPr>
              <w:t>η</w:t>
            </w:r>
            <w:r>
              <w:t>-11</w:t>
            </w:r>
            <w:r>
              <w:rPr>
                <w:vertAlign w:val="superscript"/>
              </w:rPr>
              <w:t>η</w:t>
            </w:r>
          </w:p>
          <w:p>
            <w:pPr>
              <w:pStyle w:val="style0"/>
              <w:jc w:val="center"/>
              <w:rPr>
                <w:lang w:val="en-US"/>
              </w:rPr>
            </w:pPr>
            <w:r>
              <w:t>[</w:t>
            </w:r>
            <w:r>
              <w:rPr>
                <w:lang w:val="en-US"/>
              </w:rPr>
              <w:t>9420-9456 Hz]</w:t>
            </w:r>
          </w:p>
        </w:tc>
      </w:tr>
      <w:tr>
        <w:tblPrEx/>
        <w:trPr/>
        <w:tc>
          <w:tcPr>
            <w:tcW w:w="1382" w:type="dxa"/>
            <w:tcBorders/>
          </w:tcPr>
          <w:p>
            <w:pPr>
              <w:pStyle w:val="style0"/>
              <w:jc w:val="center"/>
              <w:rPr/>
            </w:pPr>
            <w:r>
              <w:t>3</w:t>
            </w:r>
            <w:r>
              <w:rPr>
                <w:vertAlign w:val="superscript"/>
              </w:rPr>
              <w:t>ο</w:t>
            </w:r>
            <w:r>
              <w:t xml:space="preserve"> </w:t>
            </w:r>
            <w:r>
              <w:rPr>
                <w:lang w:val="en-US"/>
              </w:rPr>
              <w:t>band gap</w:t>
            </w:r>
          </w:p>
        </w:tc>
        <w:tc>
          <w:tcPr>
            <w:tcW w:w="1313" w:type="dxa"/>
            <w:tcBorders/>
          </w:tcPr>
          <w:p>
            <w:pPr>
              <w:pStyle w:val="style0"/>
              <w:jc w:val="center"/>
              <w:rPr/>
            </w:pPr>
            <w:r>
              <w:t>10-11</w:t>
            </w:r>
            <w:r>
              <w:rPr>
                <w:vertAlign w:val="superscript"/>
              </w:rPr>
              <w:t>η</w:t>
            </w:r>
          </w:p>
          <w:p>
            <w:pPr>
              <w:pStyle w:val="style0"/>
              <w:jc w:val="center"/>
              <w:rPr/>
            </w:pPr>
            <w:r>
              <w:t>[9630-9700]</w:t>
            </w:r>
          </w:p>
        </w:tc>
        <w:tc>
          <w:tcPr>
            <w:tcW w:w="1452" w:type="dxa"/>
            <w:tcBorders/>
          </w:tcPr>
          <w:p>
            <w:pPr>
              <w:pStyle w:val="style0"/>
              <w:jc w:val="center"/>
              <w:rPr/>
            </w:pPr>
            <w:r>
              <w:t>10</w:t>
            </w:r>
            <w:r>
              <w:rPr>
                <w:vertAlign w:val="superscript"/>
              </w:rPr>
              <w:t>η</w:t>
            </w:r>
            <w:r>
              <w:t>-11</w:t>
            </w:r>
            <w:r>
              <w:rPr>
                <w:vertAlign w:val="superscript"/>
              </w:rPr>
              <w:t>η</w:t>
            </w:r>
          </w:p>
          <w:p>
            <w:pPr>
              <w:pStyle w:val="style0"/>
              <w:jc w:val="center"/>
              <w:rPr>
                <w:lang w:val="en-US"/>
              </w:rPr>
            </w:pPr>
            <w:r>
              <w:t xml:space="preserve">[9562-9617 </w:t>
            </w:r>
            <w:r>
              <w:rPr>
                <w:lang w:val="en-US"/>
              </w:rPr>
              <w:t>Hz]</w:t>
            </w:r>
          </w:p>
        </w:tc>
        <w:tc>
          <w:tcPr>
            <w:tcW w:w="1383" w:type="dxa"/>
            <w:tcBorders/>
          </w:tcPr>
          <w:p>
            <w:pPr>
              <w:pStyle w:val="style0"/>
              <w:jc w:val="center"/>
              <w:rPr>
                <w:sz w:val="24"/>
                <w:szCs w:val="24"/>
              </w:rPr>
            </w:pPr>
            <w:r>
              <w:t>11</w:t>
            </w:r>
            <w:r>
              <w:rPr>
                <w:vertAlign w:val="superscript"/>
              </w:rPr>
              <w:t>η</w:t>
            </w:r>
            <w:r>
              <w:t>-12</w:t>
            </w:r>
            <w:r>
              <w:rPr>
                <w:vertAlign w:val="superscript"/>
              </w:rPr>
              <w:t>η</w:t>
            </w:r>
            <w:r>
              <w:t xml:space="preserve"> [10025- 10494 </w:t>
            </w:r>
            <w:r>
              <w:rPr>
                <w:lang w:val="en-US"/>
              </w:rPr>
              <w:t>Hz</w:t>
            </w:r>
            <w:r>
              <w:rPr>
                <w:sz w:val="24"/>
                <w:szCs w:val="24"/>
              </w:rPr>
              <w:t>]</w:t>
            </w:r>
          </w:p>
        </w:tc>
        <w:tc>
          <w:tcPr>
            <w:tcW w:w="1383" w:type="dxa"/>
            <w:tcBorders/>
          </w:tcPr>
          <w:p>
            <w:pPr>
              <w:pStyle w:val="style0"/>
              <w:jc w:val="center"/>
              <w:rPr/>
            </w:pPr>
            <w:r>
              <w:t>13</w:t>
            </w:r>
            <w:r>
              <w:rPr>
                <w:vertAlign w:val="superscript"/>
              </w:rPr>
              <w:t>η</w:t>
            </w:r>
            <w:r>
              <w:t>-14</w:t>
            </w:r>
            <w:r>
              <w:rPr>
                <w:vertAlign w:val="superscript"/>
              </w:rPr>
              <w:t>η</w:t>
            </w:r>
          </w:p>
          <w:p>
            <w:pPr>
              <w:pStyle w:val="style0"/>
              <w:jc w:val="center"/>
              <w:rPr/>
            </w:pPr>
            <w:r>
              <w:t>[10700-13110</w:t>
            </w:r>
            <w:r>
              <w:rPr>
                <w:lang w:val="en-US"/>
              </w:rPr>
              <w:t xml:space="preserve"> Hz]</w:t>
            </w:r>
          </w:p>
        </w:tc>
        <w:tc>
          <w:tcPr>
            <w:tcW w:w="1383" w:type="dxa"/>
            <w:tcBorders/>
          </w:tcPr>
          <w:p>
            <w:pPr>
              <w:pStyle w:val="style0"/>
              <w:jc w:val="center"/>
              <w:rPr/>
            </w:pPr>
            <w:r>
              <w:t>11</w:t>
            </w:r>
            <w:r>
              <w:rPr>
                <w:vertAlign w:val="superscript"/>
              </w:rPr>
              <w:t>η</w:t>
            </w:r>
            <w:r>
              <w:t>-12</w:t>
            </w:r>
            <w:r>
              <w:rPr>
                <w:vertAlign w:val="superscript"/>
              </w:rPr>
              <w:t>η</w:t>
            </w:r>
          </w:p>
          <w:p>
            <w:pPr>
              <w:pStyle w:val="style0"/>
              <w:jc w:val="center"/>
              <w:rPr>
                <w:lang w:val="en-US"/>
              </w:rPr>
            </w:pPr>
            <w:r>
              <w:t xml:space="preserve">[10015-10479 </w:t>
            </w:r>
            <w:r>
              <w:rPr>
                <w:lang w:val="en-US"/>
              </w:rPr>
              <w:t>Hz]</w:t>
            </w:r>
          </w:p>
        </w:tc>
      </w:tr>
      <w:tr>
        <w:tblPrEx/>
        <w:trPr/>
        <w:tc>
          <w:tcPr>
            <w:tcW w:w="1382" w:type="dxa"/>
            <w:tcBorders/>
          </w:tcPr>
          <w:p>
            <w:pPr>
              <w:pStyle w:val="style0"/>
              <w:jc w:val="center"/>
              <w:rPr/>
            </w:pPr>
            <w:r>
              <w:t>4</w:t>
            </w:r>
            <w:r>
              <w:rPr>
                <w:vertAlign w:val="superscript"/>
              </w:rPr>
              <w:t>ο</w:t>
            </w:r>
            <w:r>
              <w:t xml:space="preserve"> </w:t>
            </w:r>
            <w:r>
              <w:rPr>
                <w:lang w:val="en-US"/>
              </w:rPr>
              <w:t>band gap</w:t>
            </w:r>
          </w:p>
        </w:tc>
        <w:tc>
          <w:tcPr>
            <w:tcW w:w="1313" w:type="dxa"/>
            <w:tcBorders/>
          </w:tcPr>
          <w:p>
            <w:pPr>
              <w:pStyle w:val="style0"/>
              <w:jc w:val="center"/>
              <w:rPr/>
            </w:pPr>
            <w:r>
              <w:t>11</w:t>
            </w:r>
            <w:r>
              <w:rPr>
                <w:vertAlign w:val="superscript"/>
              </w:rPr>
              <w:t>η</w:t>
            </w:r>
            <w:r>
              <w:t>-12</w:t>
            </w:r>
            <w:r>
              <w:rPr>
                <w:vertAlign w:val="superscript"/>
              </w:rPr>
              <w:t>η</w:t>
            </w:r>
          </w:p>
          <w:p>
            <w:pPr>
              <w:pStyle w:val="style0"/>
              <w:jc w:val="center"/>
              <w:rPr>
                <w:lang w:val="en-US"/>
              </w:rPr>
            </w:pPr>
            <w:r>
              <w:t>[10050-10515</w:t>
            </w:r>
            <w:r>
              <w:rPr>
                <w:lang w:val="en-US"/>
              </w:rPr>
              <w:t xml:space="preserve"> Hz]</w:t>
            </w:r>
          </w:p>
        </w:tc>
        <w:tc>
          <w:tcPr>
            <w:tcW w:w="1452" w:type="dxa"/>
            <w:tcBorders/>
          </w:tcPr>
          <w:p>
            <w:pPr>
              <w:pStyle w:val="style0"/>
              <w:jc w:val="center"/>
              <w:rPr/>
            </w:pPr>
            <w:r>
              <w:t>11</w:t>
            </w:r>
            <w:r>
              <w:rPr>
                <w:vertAlign w:val="superscript"/>
              </w:rPr>
              <w:t>η</w:t>
            </w:r>
            <w:r>
              <w:t>-12</w:t>
            </w:r>
            <w:r>
              <w:rPr>
                <w:vertAlign w:val="superscript"/>
              </w:rPr>
              <w:t>η</w:t>
            </w:r>
          </w:p>
          <w:p>
            <w:pPr>
              <w:pStyle w:val="style0"/>
              <w:jc w:val="center"/>
              <w:rPr>
                <w:lang w:val="en-US"/>
              </w:rPr>
            </w:pPr>
            <w:r>
              <w:t>[10035-10503</w:t>
            </w:r>
            <w:r>
              <w:rPr>
                <w:lang w:val="en-US"/>
              </w:rPr>
              <w:t xml:space="preserve"> Hz]</w:t>
            </w:r>
          </w:p>
        </w:tc>
        <w:tc>
          <w:tcPr>
            <w:tcW w:w="1383" w:type="dxa"/>
            <w:tcBorders/>
          </w:tcPr>
          <w:p>
            <w:pPr>
              <w:pStyle w:val="style0"/>
              <w:jc w:val="center"/>
              <w:rPr/>
            </w:pPr>
            <w:r>
              <w:t>13</w:t>
            </w:r>
            <w:r>
              <w:rPr>
                <w:vertAlign w:val="superscript"/>
              </w:rPr>
              <w:t>η</w:t>
            </w:r>
            <w:r>
              <w:t>-14</w:t>
            </w:r>
            <w:r>
              <w:rPr>
                <w:vertAlign w:val="superscript"/>
              </w:rPr>
              <w:t>η</w:t>
            </w:r>
            <w:r>
              <w:t xml:space="preserve"> [10690- 13111 </w:t>
            </w:r>
            <w:r>
              <w:rPr>
                <w:lang w:val="en-US"/>
              </w:rPr>
              <w:t>Hz</w:t>
            </w:r>
            <w:r>
              <w:t>]</w:t>
            </w:r>
          </w:p>
        </w:tc>
        <w:tc>
          <w:tcPr>
            <w:tcW w:w="1383" w:type="dxa"/>
            <w:tcBorders/>
          </w:tcPr>
          <w:p>
            <w:pPr>
              <w:pStyle w:val="style0"/>
              <w:jc w:val="center"/>
              <w:rPr/>
            </w:pPr>
            <w:r>
              <w:t>14</w:t>
            </w:r>
            <w:r>
              <w:rPr>
                <w:vertAlign w:val="superscript"/>
              </w:rPr>
              <w:t>η</w:t>
            </w:r>
            <w:r>
              <w:t>-15</w:t>
            </w:r>
            <w:r>
              <w:rPr>
                <w:vertAlign w:val="superscript"/>
              </w:rPr>
              <w:t>η</w:t>
            </w:r>
          </w:p>
          <w:p>
            <w:pPr>
              <w:pStyle w:val="style0"/>
              <w:jc w:val="center"/>
              <w:rPr/>
            </w:pPr>
            <w:r>
              <w:t xml:space="preserve">[13340-13575 </w:t>
            </w:r>
            <w:r>
              <w:rPr>
                <w:lang w:val="en-US"/>
              </w:rPr>
              <w:t>Hz]</w:t>
            </w:r>
          </w:p>
        </w:tc>
        <w:tc>
          <w:tcPr>
            <w:tcW w:w="1383" w:type="dxa"/>
            <w:tcBorders/>
          </w:tcPr>
          <w:p>
            <w:pPr>
              <w:pStyle w:val="style0"/>
              <w:jc w:val="center"/>
              <w:rPr/>
            </w:pPr>
            <w:r>
              <w:t>13</w:t>
            </w:r>
            <w:r>
              <w:rPr>
                <w:vertAlign w:val="superscript"/>
              </w:rPr>
              <w:t>η</w:t>
            </w:r>
            <w:r>
              <w:t>-14</w:t>
            </w:r>
            <w:r>
              <w:rPr>
                <w:vertAlign w:val="superscript"/>
              </w:rPr>
              <w:t>η</w:t>
            </w:r>
          </w:p>
          <w:p>
            <w:pPr>
              <w:pStyle w:val="style0"/>
              <w:jc w:val="center"/>
              <w:rPr>
                <w:lang w:val="en-US"/>
              </w:rPr>
            </w:pPr>
            <w:r>
              <w:t>[10693-13110</w:t>
            </w:r>
            <w:r>
              <w:rPr>
                <w:lang w:val="en-US"/>
              </w:rPr>
              <w:t xml:space="preserve"> Hz]</w:t>
            </w:r>
          </w:p>
        </w:tc>
      </w:tr>
      <w:tr>
        <w:tblPrEx/>
        <w:trPr/>
        <w:tc>
          <w:tcPr>
            <w:tcW w:w="1382" w:type="dxa"/>
            <w:tcBorders/>
          </w:tcPr>
          <w:p>
            <w:pPr>
              <w:pStyle w:val="style0"/>
              <w:jc w:val="center"/>
              <w:rPr/>
            </w:pPr>
            <w:r>
              <w:t>5</w:t>
            </w:r>
            <w:r>
              <w:rPr>
                <w:vertAlign w:val="superscript"/>
              </w:rPr>
              <w:t xml:space="preserve">ο </w:t>
            </w:r>
            <w:r>
              <w:rPr>
                <w:lang w:val="en-US"/>
              </w:rPr>
              <w:t>band gap</w:t>
            </w:r>
          </w:p>
        </w:tc>
        <w:tc>
          <w:tcPr>
            <w:tcW w:w="1313" w:type="dxa"/>
            <w:tcBorders/>
          </w:tcPr>
          <w:p>
            <w:pPr>
              <w:pStyle w:val="style0"/>
              <w:jc w:val="center"/>
              <w:rPr/>
            </w:pPr>
            <w:r>
              <w:t>13</w:t>
            </w:r>
            <w:r>
              <w:rPr>
                <w:vertAlign w:val="superscript"/>
              </w:rPr>
              <w:t>η</w:t>
            </w:r>
            <w:r>
              <w:t>-14</w:t>
            </w:r>
            <w:r>
              <w:rPr>
                <w:vertAlign w:val="superscript"/>
              </w:rPr>
              <w:t>η</w:t>
            </w:r>
          </w:p>
          <w:p>
            <w:pPr>
              <w:pStyle w:val="style0"/>
              <w:jc w:val="center"/>
              <w:rPr>
                <w:lang w:val="en-US"/>
              </w:rPr>
            </w:pPr>
            <w:r>
              <w:t>[10724-13110</w:t>
            </w:r>
            <w:r>
              <w:rPr>
                <w:lang w:val="en-US"/>
              </w:rPr>
              <w:t xml:space="preserve"> Hz]</w:t>
            </w:r>
          </w:p>
        </w:tc>
        <w:tc>
          <w:tcPr>
            <w:tcW w:w="1452" w:type="dxa"/>
            <w:tcBorders/>
          </w:tcPr>
          <w:p>
            <w:pPr>
              <w:pStyle w:val="style0"/>
              <w:jc w:val="center"/>
              <w:rPr/>
            </w:pPr>
            <w:r>
              <w:t>13</w:t>
            </w:r>
            <w:r>
              <w:rPr>
                <w:vertAlign w:val="superscript"/>
              </w:rPr>
              <w:t>η</w:t>
            </w:r>
            <w:r>
              <w:t>-14</w:t>
            </w:r>
            <w:r>
              <w:rPr>
                <w:vertAlign w:val="superscript"/>
              </w:rPr>
              <w:t>η</w:t>
            </w:r>
          </w:p>
          <w:p>
            <w:pPr>
              <w:pStyle w:val="style0"/>
              <w:jc w:val="center"/>
              <w:rPr/>
            </w:pPr>
            <w:r>
              <w:t>[10714-13110</w:t>
            </w:r>
            <w:r>
              <w:rPr>
                <w:lang w:val="en-US"/>
              </w:rPr>
              <w:t xml:space="preserve"> Hz]</w:t>
            </w:r>
          </w:p>
        </w:tc>
        <w:tc>
          <w:tcPr>
            <w:tcW w:w="1383" w:type="dxa"/>
            <w:tcBorders/>
          </w:tcPr>
          <w:p>
            <w:pPr>
              <w:pStyle w:val="style0"/>
              <w:jc w:val="center"/>
              <w:rPr/>
            </w:pPr>
            <w:r>
              <w:t>14</w:t>
            </w:r>
            <w:r>
              <w:rPr>
                <w:vertAlign w:val="superscript"/>
              </w:rPr>
              <w:t>η</w:t>
            </w:r>
            <w:r>
              <w:t>-15</w:t>
            </w:r>
            <w:r>
              <w:rPr>
                <w:vertAlign w:val="superscript"/>
              </w:rPr>
              <w:t>η</w:t>
            </w:r>
            <w:r>
              <w:t xml:space="preserve"> [13346- 13576 </w:t>
            </w:r>
            <w:r>
              <w:rPr>
                <w:lang w:val="en-US"/>
              </w:rPr>
              <w:t>Hz</w:t>
            </w:r>
            <w:r>
              <w:t>]</w:t>
            </w:r>
          </w:p>
        </w:tc>
        <w:tc>
          <w:tcPr>
            <w:tcW w:w="1383" w:type="dxa"/>
            <w:tcBorders/>
          </w:tcPr>
          <w:p>
            <w:pPr>
              <w:pStyle w:val="style0"/>
              <w:jc w:val="center"/>
              <w:rPr/>
            </w:pPr>
            <w:r>
              <w:t>15</w:t>
            </w:r>
            <w:r>
              <w:rPr>
                <w:vertAlign w:val="superscript"/>
              </w:rPr>
              <w:t>η</w:t>
            </w:r>
            <w:r>
              <w:t>-16</w:t>
            </w:r>
            <w:r>
              <w:rPr>
                <w:vertAlign w:val="superscript"/>
              </w:rPr>
              <w:t>η</w:t>
            </w:r>
          </w:p>
          <w:p>
            <w:pPr>
              <w:pStyle w:val="style0"/>
              <w:jc w:val="center"/>
              <w:rPr/>
            </w:pPr>
            <w:r>
              <w:t>[13690-14525</w:t>
            </w:r>
            <w:r>
              <w:rPr>
                <w:lang w:val="en-US"/>
              </w:rPr>
              <w:t xml:space="preserve"> Hz]</w:t>
            </w:r>
          </w:p>
        </w:tc>
        <w:tc>
          <w:tcPr>
            <w:tcW w:w="1383" w:type="dxa"/>
            <w:tcBorders/>
          </w:tcPr>
          <w:p>
            <w:pPr>
              <w:pStyle w:val="style0"/>
              <w:jc w:val="center"/>
              <w:rPr/>
            </w:pPr>
            <w:r>
              <w:t>14</w:t>
            </w:r>
            <w:r>
              <w:rPr>
                <w:vertAlign w:val="superscript"/>
              </w:rPr>
              <w:t>η</w:t>
            </w:r>
            <w:r>
              <w:t>-15</w:t>
            </w:r>
            <w:r>
              <w:rPr>
                <w:vertAlign w:val="superscript"/>
              </w:rPr>
              <w:t>η</w:t>
            </w:r>
          </w:p>
          <w:p>
            <w:pPr>
              <w:pStyle w:val="style0"/>
              <w:jc w:val="center"/>
              <w:rPr/>
            </w:pPr>
            <w:r>
              <w:t xml:space="preserve">[13340-13575 </w:t>
            </w:r>
            <w:r>
              <w:rPr>
                <w:lang w:val="en-US"/>
              </w:rPr>
              <w:t>Hz]</w:t>
            </w:r>
          </w:p>
        </w:tc>
      </w:tr>
      <w:tr>
        <w:tblPrEx/>
        <w:trPr/>
        <w:tc>
          <w:tcPr>
            <w:tcW w:w="1382" w:type="dxa"/>
            <w:tcBorders/>
          </w:tcPr>
          <w:p>
            <w:pPr>
              <w:pStyle w:val="style0"/>
              <w:jc w:val="center"/>
              <w:rPr/>
            </w:pPr>
            <w:r>
              <w:t>6</w:t>
            </w:r>
            <w:r>
              <w:rPr>
                <w:vertAlign w:val="superscript"/>
              </w:rPr>
              <w:t>ο</w:t>
            </w:r>
            <w:r>
              <w:t xml:space="preserve"> </w:t>
            </w:r>
            <w:r>
              <w:rPr>
                <w:lang w:val="en-US"/>
              </w:rPr>
              <w:t>band gap</w:t>
            </w:r>
          </w:p>
        </w:tc>
        <w:tc>
          <w:tcPr>
            <w:tcW w:w="1313" w:type="dxa"/>
            <w:tcBorders/>
          </w:tcPr>
          <w:p>
            <w:pPr>
              <w:pStyle w:val="style0"/>
              <w:jc w:val="center"/>
              <w:rPr/>
            </w:pPr>
            <w:r>
              <w:t>14</w:t>
            </w:r>
            <w:r>
              <w:rPr>
                <w:vertAlign w:val="superscript"/>
              </w:rPr>
              <w:t>η</w:t>
            </w:r>
            <w:r>
              <w:t>-15</w:t>
            </w:r>
            <w:r>
              <w:rPr>
                <w:vertAlign w:val="superscript"/>
              </w:rPr>
              <w:t>η</w:t>
            </w:r>
          </w:p>
          <w:p>
            <w:pPr>
              <w:pStyle w:val="style0"/>
              <w:jc w:val="center"/>
              <w:rPr>
                <w:lang w:val="en-US"/>
              </w:rPr>
            </w:pPr>
            <w:r>
              <w:t xml:space="preserve">[13340-13575 </w:t>
            </w:r>
            <w:r>
              <w:rPr>
                <w:lang w:val="en-US"/>
              </w:rPr>
              <w:t>Hz]</w:t>
            </w:r>
          </w:p>
        </w:tc>
        <w:tc>
          <w:tcPr>
            <w:tcW w:w="1452" w:type="dxa"/>
            <w:tcBorders/>
          </w:tcPr>
          <w:p>
            <w:pPr>
              <w:pStyle w:val="style0"/>
              <w:jc w:val="center"/>
              <w:rPr/>
            </w:pPr>
            <w:r>
              <w:t>14</w:t>
            </w:r>
            <w:r>
              <w:rPr>
                <w:vertAlign w:val="superscript"/>
              </w:rPr>
              <w:t>η</w:t>
            </w:r>
            <w:r>
              <w:t>-15</w:t>
            </w:r>
            <w:r>
              <w:rPr>
                <w:vertAlign w:val="superscript"/>
              </w:rPr>
              <w:t>η</w:t>
            </w:r>
          </w:p>
          <w:p>
            <w:pPr>
              <w:pStyle w:val="style0"/>
              <w:jc w:val="center"/>
              <w:rPr/>
            </w:pPr>
            <w:r>
              <w:t xml:space="preserve">[13341-13575 </w:t>
            </w:r>
            <w:r>
              <w:rPr>
                <w:lang w:val="en-US"/>
              </w:rPr>
              <w:t>Hz]</w:t>
            </w:r>
          </w:p>
        </w:tc>
        <w:tc>
          <w:tcPr>
            <w:tcW w:w="1383" w:type="dxa"/>
            <w:tcBorders/>
          </w:tcPr>
          <w:p>
            <w:pPr>
              <w:pStyle w:val="style0"/>
              <w:jc w:val="center"/>
              <w:rPr/>
            </w:pPr>
            <w:r>
              <w:t>15</w:t>
            </w:r>
            <w:r>
              <w:rPr>
                <w:vertAlign w:val="superscript"/>
              </w:rPr>
              <w:t>η</w:t>
            </w:r>
            <w:r>
              <w:t>-16</w:t>
            </w:r>
            <w:r>
              <w:rPr>
                <w:vertAlign w:val="superscript"/>
              </w:rPr>
              <w:t xml:space="preserve">η </w:t>
            </w:r>
            <w:r>
              <w:t xml:space="preserve">[13690- 14525 </w:t>
            </w:r>
            <w:r>
              <w:rPr>
                <w:lang w:val="en-US"/>
              </w:rPr>
              <w:t>Hz</w:t>
            </w:r>
            <w:r>
              <w:t>]</w:t>
            </w:r>
          </w:p>
        </w:tc>
        <w:tc>
          <w:tcPr>
            <w:tcW w:w="1383" w:type="dxa"/>
            <w:tcBorders/>
          </w:tcPr>
          <w:p>
            <w:pPr>
              <w:pStyle w:val="style0"/>
              <w:jc w:val="center"/>
              <w:rPr/>
            </w:pPr>
            <w:r>
              <w:rPr>
                <w:lang w:val="en-US"/>
              </w:rPr>
              <w:t>17</w:t>
            </w:r>
            <w:r>
              <w:rPr>
                <w:vertAlign w:val="superscript"/>
              </w:rPr>
              <w:t>η</w:t>
            </w:r>
            <w:r>
              <w:t>-18</w:t>
            </w:r>
            <w:r>
              <w:rPr>
                <w:vertAlign w:val="superscript"/>
              </w:rPr>
              <w:t>η</w:t>
            </w:r>
          </w:p>
          <w:p>
            <w:pPr>
              <w:pStyle w:val="style0"/>
              <w:jc w:val="center"/>
              <w:rPr/>
            </w:pPr>
            <w:r>
              <w:t>[15000-15390</w:t>
            </w:r>
            <w:r>
              <w:rPr>
                <w:lang w:val="en-US"/>
              </w:rPr>
              <w:t xml:space="preserve"> Hz]</w:t>
            </w:r>
          </w:p>
        </w:tc>
        <w:tc>
          <w:tcPr>
            <w:tcW w:w="1383" w:type="dxa"/>
            <w:tcBorders/>
          </w:tcPr>
          <w:p>
            <w:pPr>
              <w:pStyle w:val="style0"/>
              <w:jc w:val="center"/>
              <w:rPr/>
            </w:pPr>
            <w:r>
              <w:t>15</w:t>
            </w:r>
            <w:r>
              <w:rPr>
                <w:vertAlign w:val="superscript"/>
              </w:rPr>
              <w:t>η</w:t>
            </w:r>
            <w:r>
              <w:t>-16</w:t>
            </w:r>
            <w:r>
              <w:rPr>
                <w:vertAlign w:val="superscript"/>
              </w:rPr>
              <w:t>η</w:t>
            </w:r>
          </w:p>
          <w:p>
            <w:pPr>
              <w:pStyle w:val="style0"/>
              <w:jc w:val="center"/>
              <w:rPr/>
            </w:pPr>
            <w:r>
              <w:t>[13690-14525</w:t>
            </w:r>
            <w:r>
              <w:rPr>
                <w:lang w:val="en-US"/>
              </w:rPr>
              <w:t xml:space="preserve"> Hz]</w:t>
            </w:r>
          </w:p>
        </w:tc>
      </w:tr>
      <w:tr>
        <w:tblPrEx/>
        <w:trPr/>
        <w:tc>
          <w:tcPr>
            <w:tcW w:w="1382" w:type="dxa"/>
            <w:tcBorders/>
          </w:tcPr>
          <w:p>
            <w:pPr>
              <w:pStyle w:val="style0"/>
              <w:jc w:val="center"/>
              <w:rPr/>
            </w:pPr>
            <w:r>
              <w:t>7</w:t>
            </w:r>
            <w:r>
              <w:rPr>
                <w:vertAlign w:val="superscript"/>
              </w:rPr>
              <w:t>ο</w:t>
            </w:r>
            <w:r>
              <w:t xml:space="preserve"> </w:t>
            </w:r>
            <w:r>
              <w:rPr>
                <w:lang w:val="en-US"/>
              </w:rPr>
              <w:t>band gap</w:t>
            </w:r>
          </w:p>
        </w:tc>
        <w:tc>
          <w:tcPr>
            <w:tcW w:w="1313" w:type="dxa"/>
            <w:tcBorders/>
          </w:tcPr>
          <w:p>
            <w:pPr>
              <w:pStyle w:val="style0"/>
              <w:jc w:val="center"/>
              <w:rPr/>
            </w:pPr>
            <w:r>
              <w:t>15</w:t>
            </w:r>
            <w:r>
              <w:rPr>
                <w:vertAlign w:val="superscript"/>
              </w:rPr>
              <w:t>η</w:t>
            </w:r>
            <w:r>
              <w:t>-16</w:t>
            </w:r>
            <w:r>
              <w:rPr>
                <w:vertAlign w:val="superscript"/>
              </w:rPr>
              <w:t>η</w:t>
            </w:r>
          </w:p>
          <w:p>
            <w:pPr>
              <w:pStyle w:val="style0"/>
              <w:jc w:val="center"/>
              <w:rPr>
                <w:lang w:val="en-US"/>
              </w:rPr>
            </w:pPr>
            <w:r>
              <w:t>[13690-14525</w:t>
            </w:r>
            <w:r>
              <w:rPr>
                <w:lang w:val="en-US"/>
              </w:rPr>
              <w:t xml:space="preserve"> Hz]</w:t>
            </w:r>
          </w:p>
        </w:tc>
        <w:tc>
          <w:tcPr>
            <w:tcW w:w="1452" w:type="dxa"/>
            <w:tcBorders/>
          </w:tcPr>
          <w:p>
            <w:pPr>
              <w:pStyle w:val="style0"/>
              <w:jc w:val="center"/>
              <w:rPr/>
            </w:pPr>
            <w:r>
              <w:t>15</w:t>
            </w:r>
            <w:r>
              <w:rPr>
                <w:vertAlign w:val="superscript"/>
              </w:rPr>
              <w:t>η</w:t>
            </w:r>
            <w:r>
              <w:t>-16</w:t>
            </w:r>
            <w:r>
              <w:rPr>
                <w:vertAlign w:val="superscript"/>
              </w:rPr>
              <w:t>η</w:t>
            </w:r>
          </w:p>
          <w:p>
            <w:pPr>
              <w:pStyle w:val="style0"/>
              <w:jc w:val="center"/>
              <w:rPr/>
            </w:pPr>
            <w:r>
              <w:t>[13690-14525</w:t>
            </w:r>
            <w:r>
              <w:rPr>
                <w:lang w:val="en-US"/>
              </w:rPr>
              <w:t xml:space="preserve"> Hz]</w:t>
            </w:r>
          </w:p>
        </w:tc>
        <w:tc>
          <w:tcPr>
            <w:tcW w:w="1383" w:type="dxa"/>
            <w:tcBorders/>
          </w:tcPr>
          <w:p>
            <w:pPr>
              <w:pStyle w:val="style0"/>
              <w:jc w:val="center"/>
              <w:rPr/>
            </w:pPr>
            <w:r>
              <w:t>17</w:t>
            </w:r>
            <w:r>
              <w:rPr>
                <w:vertAlign w:val="superscript"/>
              </w:rPr>
              <w:t>η</w:t>
            </w:r>
            <w:r>
              <w:t>-18</w:t>
            </w:r>
            <w:r>
              <w:rPr>
                <w:vertAlign w:val="superscript"/>
              </w:rPr>
              <w:t>η</w:t>
            </w:r>
            <w:r>
              <w:t xml:space="preserve"> [15000- 15390 </w:t>
            </w:r>
            <w:r>
              <w:rPr>
                <w:lang w:val="en-US"/>
              </w:rPr>
              <w:t>Hz</w:t>
            </w:r>
            <w:r>
              <w:t>]</w:t>
            </w:r>
          </w:p>
        </w:tc>
        <w:tc>
          <w:tcPr>
            <w:tcW w:w="1383" w:type="dxa"/>
            <w:tcBorders/>
          </w:tcPr>
          <w:p>
            <w:pPr>
              <w:pStyle w:val="style0"/>
              <w:jc w:val="center"/>
              <w:rPr/>
            </w:pPr>
            <w:r>
              <w:t>-</w:t>
            </w:r>
          </w:p>
        </w:tc>
        <w:tc>
          <w:tcPr>
            <w:tcW w:w="1383" w:type="dxa"/>
            <w:tcBorders/>
          </w:tcPr>
          <w:p>
            <w:pPr>
              <w:pStyle w:val="style0"/>
              <w:jc w:val="center"/>
              <w:rPr/>
            </w:pPr>
            <w:r>
              <w:rPr>
                <w:lang w:val="en-US"/>
              </w:rPr>
              <w:t>17</w:t>
            </w:r>
            <w:r>
              <w:rPr>
                <w:vertAlign w:val="superscript"/>
              </w:rPr>
              <w:t>η</w:t>
            </w:r>
            <w:r>
              <w:t>-18</w:t>
            </w:r>
            <w:r>
              <w:rPr>
                <w:vertAlign w:val="superscript"/>
              </w:rPr>
              <w:t>η</w:t>
            </w:r>
          </w:p>
          <w:p>
            <w:pPr>
              <w:pStyle w:val="style0"/>
              <w:jc w:val="center"/>
              <w:rPr/>
            </w:pPr>
            <w:r>
              <w:t>[15000-15390</w:t>
            </w:r>
            <w:r>
              <w:rPr>
                <w:lang w:val="en-US"/>
              </w:rPr>
              <w:t xml:space="preserve"> Hz]</w:t>
            </w:r>
          </w:p>
        </w:tc>
      </w:tr>
      <w:tr>
        <w:tblPrEx/>
        <w:trPr/>
        <w:tc>
          <w:tcPr>
            <w:tcW w:w="1382" w:type="dxa"/>
            <w:tcBorders/>
          </w:tcPr>
          <w:p>
            <w:pPr>
              <w:pStyle w:val="style0"/>
              <w:jc w:val="center"/>
              <w:rPr/>
            </w:pPr>
            <w:r>
              <w:t>8</w:t>
            </w:r>
            <w:r>
              <w:rPr>
                <w:vertAlign w:val="superscript"/>
              </w:rPr>
              <w:t>ο</w:t>
            </w:r>
            <w:r>
              <w:t xml:space="preserve"> </w:t>
            </w:r>
            <w:r>
              <w:rPr>
                <w:lang w:val="en-US"/>
              </w:rPr>
              <w:t>band gap</w:t>
            </w:r>
          </w:p>
        </w:tc>
        <w:tc>
          <w:tcPr>
            <w:tcW w:w="1313" w:type="dxa"/>
            <w:tcBorders/>
          </w:tcPr>
          <w:p>
            <w:pPr>
              <w:pStyle w:val="style0"/>
              <w:jc w:val="center"/>
              <w:rPr/>
            </w:pPr>
            <w:r>
              <w:rPr>
                <w:lang w:val="en-US"/>
              </w:rPr>
              <w:t>17</w:t>
            </w:r>
            <w:r>
              <w:rPr>
                <w:vertAlign w:val="superscript"/>
              </w:rPr>
              <w:t>η</w:t>
            </w:r>
            <w:r>
              <w:t>-18</w:t>
            </w:r>
            <w:r>
              <w:rPr>
                <w:vertAlign w:val="superscript"/>
              </w:rPr>
              <w:t>η</w:t>
            </w:r>
          </w:p>
          <w:p>
            <w:pPr>
              <w:pStyle w:val="style0"/>
              <w:jc w:val="center"/>
              <w:rPr>
                <w:lang w:val="en-US"/>
              </w:rPr>
            </w:pPr>
            <w:r>
              <w:t>[15000-15390</w:t>
            </w:r>
            <w:r>
              <w:rPr>
                <w:lang w:val="en-US"/>
              </w:rPr>
              <w:t xml:space="preserve"> Hz]</w:t>
            </w:r>
          </w:p>
        </w:tc>
        <w:tc>
          <w:tcPr>
            <w:tcW w:w="1452" w:type="dxa"/>
            <w:tcBorders/>
          </w:tcPr>
          <w:p>
            <w:pPr>
              <w:pStyle w:val="style0"/>
              <w:jc w:val="center"/>
              <w:rPr/>
            </w:pPr>
            <w:r>
              <w:rPr>
                <w:lang w:val="en-US"/>
              </w:rPr>
              <w:t>17</w:t>
            </w:r>
            <w:r>
              <w:rPr>
                <w:vertAlign w:val="superscript"/>
              </w:rPr>
              <w:t>η</w:t>
            </w:r>
            <w:r>
              <w:t>-18</w:t>
            </w:r>
            <w:r>
              <w:rPr>
                <w:vertAlign w:val="superscript"/>
              </w:rPr>
              <w:t>η</w:t>
            </w:r>
          </w:p>
          <w:p>
            <w:pPr>
              <w:pStyle w:val="style0"/>
              <w:jc w:val="center"/>
              <w:rPr/>
            </w:pPr>
            <w:r>
              <w:t>[15000-15390</w:t>
            </w:r>
            <w:r>
              <w:rPr>
                <w:lang w:val="en-US"/>
              </w:rPr>
              <w:t xml:space="preserve"> Hz]</w:t>
            </w:r>
          </w:p>
        </w:tc>
        <w:tc>
          <w:tcPr>
            <w:tcW w:w="1383" w:type="dxa"/>
            <w:tcBorders/>
          </w:tcPr>
          <w:p>
            <w:pPr>
              <w:pStyle w:val="style0"/>
              <w:jc w:val="center"/>
              <w:rPr/>
            </w:pPr>
            <w:r>
              <w:t>-</w:t>
            </w:r>
          </w:p>
        </w:tc>
        <w:tc>
          <w:tcPr>
            <w:tcW w:w="1383" w:type="dxa"/>
            <w:tcBorders/>
          </w:tcPr>
          <w:p>
            <w:pPr>
              <w:pStyle w:val="style0"/>
              <w:jc w:val="center"/>
              <w:rPr/>
            </w:pPr>
            <w:r>
              <w:t>-</w:t>
            </w:r>
          </w:p>
        </w:tc>
        <w:tc>
          <w:tcPr>
            <w:tcW w:w="1383" w:type="dxa"/>
            <w:tcBorders/>
          </w:tcPr>
          <w:p>
            <w:pPr>
              <w:pStyle w:val="style0"/>
              <w:jc w:val="center"/>
              <w:rPr>
                <w:lang w:val="en-US"/>
              </w:rPr>
            </w:pPr>
            <w:r>
              <w:rPr>
                <w:lang w:val="en-US"/>
              </w:rPr>
              <w:t>-</w:t>
            </w:r>
          </w:p>
        </w:tc>
      </w:tr>
    </w:tbl>
    <w:p>
      <w:pPr>
        <w:pStyle w:val="style0"/>
        <w:spacing w:before="240" w:lineRule="auto" w:line="360"/>
        <w:rPr/>
      </w:pPr>
      <w:r>
        <w:t>Παρατηρείται</w:t>
      </w:r>
      <w:r>
        <w:t xml:space="preserve">, ότι η μεταβολή της πυκνότητας υλικού του πυρήνα, δεν επηρεάζει σε σημαντικό βαθμό το εύρος που καλύπτουν οι 20 πρώτες ιδιοσυχνότητες. Τα τρία τελευταία </w:t>
      </w:r>
      <w:r>
        <w:rPr>
          <w:lang w:val="en-US"/>
        </w:rPr>
        <w:t>band</w:t>
      </w:r>
      <w:r>
        <w:t xml:space="preserve"> </w:t>
      </w:r>
      <w:r>
        <w:rPr>
          <w:lang w:val="en-US"/>
        </w:rPr>
        <w:t>gap</w:t>
      </w:r>
      <w:r>
        <w:t xml:space="preserve">, σε κάθε μεταβολή, ταυτίζονται και τέλος, όσο αυξάνουμε </w:t>
      </w:r>
      <w:r>
        <w:t>τ</w:t>
      </w:r>
      <w:r>
        <w:t>η</w:t>
      </w:r>
      <w:r>
        <w:t>ν</w:t>
      </w:r>
      <w:r>
        <w:t xml:space="preserve"> πυκνότητα </w:t>
      </w:r>
      <w:r>
        <w:t>φαίνεται</w:t>
      </w:r>
      <w:r>
        <w:t xml:space="preserve"> η σταδιακή ελάττωση ως την εξαφάνιση των </w:t>
      </w:r>
      <w:r>
        <w:rPr>
          <w:lang w:val="en-US"/>
        </w:rPr>
        <w:t>band</w:t>
      </w:r>
      <w:r>
        <w:t xml:space="preserve"> </w:t>
      </w:r>
      <w:r>
        <w:rPr>
          <w:lang w:val="en-US"/>
        </w:rPr>
        <w:t>gaps</w:t>
      </w:r>
      <w:r>
        <w:t xml:space="preserve"> κάτω από την 10</w:t>
      </w:r>
      <w:r>
        <w:rPr>
          <w:vertAlign w:val="superscript"/>
        </w:rPr>
        <w:t>η</w:t>
      </w:r>
      <w:r>
        <w:t xml:space="preserve"> ιδιοσυχνότητα.</w:t>
      </w:r>
    </w:p>
    <w:p>
      <w:pPr>
        <w:pStyle w:val="style0"/>
        <w:rPr>
          <w:rFonts w:ascii="Calibri Light" w:cs="宋体" w:eastAsia="宋体" w:hAnsi="Calibri Light"/>
          <w:color w:val="2f5496"/>
          <w:sz w:val="32"/>
          <w:szCs w:val="32"/>
        </w:rPr>
      </w:pPr>
      <w:r>
        <w:br w:type="page"/>
      </w:r>
    </w:p>
    <w:bookmarkStart w:id="75" w:name="_Toc77270456"/>
    <w:bookmarkStart w:id="76" w:name="_Toc66524619"/>
    <w:p>
      <w:pPr>
        <w:pStyle w:val="style1"/>
        <w:rPr/>
      </w:pPr>
      <w:r>
        <w:t>Κεφάλαιο 9 – Προτάσεις για περαιτέρω διερεύνηση</w:t>
      </w:r>
      <w:bookmarkEnd w:id="75"/>
    </w:p>
    <w:p>
      <w:pPr>
        <w:pStyle w:val="style0"/>
        <w:rPr/>
      </w:pPr>
    </w:p>
    <w:p>
      <w:pPr>
        <w:pStyle w:val="style0"/>
        <w:rPr/>
      </w:pPr>
      <w:r>
        <w:t xml:space="preserve">Έγινε εμφανές, κατά την διάρκεια ελέγχου της βιβλιογραφίας, ότι οι διερευνήσεις των </w:t>
      </w:r>
      <w:r>
        <w:t>τετραχειρομόρφων</w:t>
      </w:r>
      <w:r>
        <w:t xml:space="preserve"> δομών είναι λίγες</w:t>
      </w:r>
      <w:r>
        <w:t xml:space="preserve"> συγκριτικά με τις </w:t>
      </w:r>
      <w:r>
        <w:t>αντιτετραχειρόμορφες</w:t>
      </w:r>
      <w:r>
        <w:t xml:space="preserve"> δομές, όπου βρέθηκε αρκετό υλικό </w:t>
      </w:r>
      <w:r>
        <w:t>είτε πειραματικό είτε θεωρητικό με την χρήση</w:t>
      </w:r>
      <w:r>
        <w:t xml:space="preserve"> </w:t>
      </w:r>
      <w:r>
        <w:rPr>
          <w:lang w:val="en-US"/>
        </w:rPr>
        <w:t>Finite</w:t>
      </w:r>
      <w:r>
        <w:t xml:space="preserve"> </w:t>
      </w:r>
      <w:r>
        <w:rPr>
          <w:lang w:val="en-US"/>
        </w:rPr>
        <w:t>Element</w:t>
      </w:r>
      <w:r>
        <w:t xml:space="preserve"> </w:t>
      </w:r>
      <w:r>
        <w:rPr>
          <w:lang w:val="en-US"/>
        </w:rPr>
        <w:t>Analysis</w:t>
      </w:r>
      <w:r>
        <w:t>.</w:t>
      </w:r>
    </w:p>
    <w:p>
      <w:pPr>
        <w:pStyle w:val="style0"/>
        <w:rPr/>
      </w:pPr>
      <w:r>
        <w:t xml:space="preserve">Για αυτό, προτείνεται να γίνουν έλεγχοι </w:t>
      </w:r>
      <w:r>
        <w:t>τετραχειρόμορφων</w:t>
      </w:r>
      <w:r>
        <w:t xml:space="preserve"> δομών με ακόμα μεγαλύτερη παραμετροποίηση στα γεωμετρικά χαρακτηριστικά, στην επιλογή των υλικών αλλά και στο εύρος του φάσματος συχνοτήτων.</w:t>
      </w:r>
    </w:p>
    <w:p>
      <w:pPr>
        <w:pStyle w:val="style0"/>
        <w:rPr/>
      </w:pPr>
      <w:r>
        <w:t>Τέλος, θα ήταν συνετό να ελεγχθεί και το οικονομικό στοιχείο, δηλαδή το κόστος δημιουργίας και συντήρησης μιας τέτοιας μικροδομής για καθημερινή χρήση</w:t>
      </w:r>
      <w:r>
        <w:t>, καθώς δεν υπήρξε καμία μελέτη πάνω σε αυτή την διάσταση του αντικειμένου.</w:t>
      </w:r>
      <w:r>
        <w:br w:type="page"/>
      </w:r>
      <w:bookmarkEnd w:id="76"/>
    </w:p>
    <w:bookmarkStart w:id="77" w:name="_Toc77270457"/>
    <w:p>
      <w:pPr>
        <w:pStyle w:val="style1"/>
        <w:rPr>
          <w:lang w:val="en-US"/>
        </w:rPr>
      </w:pPr>
      <w:r>
        <w:t>Αναφορές</w:t>
      </w:r>
      <w:bookmarkEnd w:id="77"/>
    </w:p>
    <w:p>
      <w:pPr>
        <w:pStyle w:val="style265"/>
        <w:numPr>
          <w:ilvl w:val="0"/>
          <w:numId w:val="11"/>
        </w:numPr>
        <w:spacing w:lineRule="auto" w:line="240"/>
        <w:rPr>
          <w:rFonts w:cs="Calibri"/>
          <w:sz w:val="20"/>
          <w:szCs w:val="20"/>
          <w:lang w:val="en-US"/>
        </w:rPr>
      </w:pPr>
      <w:r>
        <w:rPr>
          <w:rFonts w:cs="Calibri"/>
          <w:sz w:val="20"/>
          <w:szCs w:val="20"/>
        </w:rPr>
        <w:fldChar w:fldCharType="begin"/>
      </w:r>
      <w:r>
        <w:rPr>
          <w:rFonts w:cs="Calibri"/>
          <w:sz w:val="20"/>
          <w:szCs w:val="20"/>
          <w:lang w:val="en-US"/>
        </w:rPr>
        <w:instrText>BIBLIOGRAPHY</w:instrText>
      </w:r>
      <w:r>
        <w:rPr>
          <w:rFonts w:cs="Calibri"/>
          <w:sz w:val="20"/>
          <w:szCs w:val="20"/>
        </w:rPr>
        <w:fldChar w:fldCharType="separate"/>
      </w:r>
      <w:r>
        <w:rPr>
          <w:rFonts w:cs="Calibri"/>
          <w:color w:val="222222"/>
          <w:sz w:val="20"/>
          <w:szCs w:val="20"/>
          <w:shd w:val="clear" w:color="auto" w:fill="ffffff"/>
          <w:lang w:val="en-US"/>
        </w:rPr>
        <w:t>BRILLOUIN, Leon. </w:t>
      </w:r>
      <w:r>
        <w:rPr>
          <w:rFonts w:cs="Calibri"/>
          <w:i/>
          <w:iCs/>
          <w:color w:val="222222"/>
          <w:sz w:val="20"/>
          <w:szCs w:val="20"/>
          <w:shd w:val="clear" w:color="auto" w:fill="ffffff"/>
          <w:lang w:val="en-US"/>
        </w:rPr>
        <w:t>Wave propagation in periodic structures: electric filters and crystal lattices</w:t>
      </w:r>
      <w:r>
        <w:rPr>
          <w:rFonts w:cs="Calibri"/>
          <w:color w:val="222222"/>
          <w:sz w:val="20"/>
          <w:szCs w:val="20"/>
          <w:shd w:val="clear" w:color="auto" w:fill="ffffff"/>
          <w:lang w:val="en-US"/>
        </w:rPr>
        <w:t xml:space="preserve">. </w:t>
      </w:r>
      <w:r>
        <w:rPr>
          <w:rFonts w:cs="Calibri"/>
          <w:color w:val="222222"/>
          <w:sz w:val="20"/>
          <w:szCs w:val="20"/>
          <w:shd w:val="clear" w:color="auto" w:fill="ffffff"/>
        </w:rPr>
        <w:t>Dover publications, 1953.</w:t>
      </w:r>
    </w:p>
    <w:p>
      <w:pPr>
        <w:pStyle w:val="style265"/>
        <w:numPr>
          <w:ilvl w:val="0"/>
          <w:numId w:val="11"/>
        </w:numPr>
        <w:spacing w:lineRule="auto" w:line="240"/>
        <w:rPr>
          <w:rFonts w:cs="Calibri"/>
          <w:sz w:val="20"/>
          <w:szCs w:val="20"/>
          <w:lang w:val="en-US"/>
        </w:rPr>
      </w:pPr>
      <w:r>
        <w:rPr>
          <w:rFonts w:cs="Calibri"/>
          <w:color w:val="222222"/>
          <w:sz w:val="20"/>
          <w:szCs w:val="20"/>
          <w:shd w:val="clear" w:color="auto" w:fill="ffffff"/>
          <w:lang w:val="en-US"/>
        </w:rPr>
        <w:t>STAVROULAKIS, G. E. Auxetic behaviour: appearance and engineering applications. </w:t>
      </w:r>
      <w:r>
        <w:rPr>
          <w:rFonts w:cs="Calibri"/>
          <w:i/>
          <w:iCs/>
          <w:color w:val="222222"/>
          <w:sz w:val="20"/>
          <w:szCs w:val="20"/>
          <w:shd w:val="clear" w:color="auto" w:fill="ffffff"/>
          <w:lang w:val="en-US"/>
        </w:rPr>
        <w:t>physica status solidi (b)</w:t>
      </w:r>
      <w:r>
        <w:rPr>
          <w:rFonts w:cs="Calibri"/>
          <w:color w:val="222222"/>
          <w:sz w:val="20"/>
          <w:szCs w:val="20"/>
          <w:shd w:val="clear" w:color="auto" w:fill="ffffff"/>
          <w:lang w:val="en-US"/>
        </w:rPr>
        <w:t>, 2005, 242.3: 710-720.</w:t>
      </w:r>
    </w:p>
    <w:p>
      <w:pPr>
        <w:pStyle w:val="style265"/>
        <w:numPr>
          <w:ilvl w:val="0"/>
          <w:numId w:val="11"/>
        </w:numPr>
        <w:spacing w:lineRule="auto" w:line="240"/>
        <w:rPr>
          <w:rFonts w:cs="Calibri"/>
          <w:sz w:val="20"/>
          <w:szCs w:val="20"/>
          <w:lang w:val="en-US"/>
        </w:rPr>
      </w:pPr>
      <w:r>
        <w:rPr>
          <w:rFonts w:cs="Calibri"/>
          <w:color w:val="222222"/>
          <w:sz w:val="20"/>
          <w:szCs w:val="20"/>
          <w:shd w:val="clear" w:color="auto" w:fill="ffffff"/>
          <w:lang w:val="en-US"/>
        </w:rPr>
        <w:t>YANG, Wei, et al. Review on auxetic materials. </w:t>
      </w:r>
      <w:r>
        <w:rPr>
          <w:rFonts w:cs="Calibri"/>
          <w:i/>
          <w:iCs/>
          <w:color w:val="222222"/>
          <w:sz w:val="20"/>
          <w:szCs w:val="20"/>
          <w:shd w:val="clear" w:color="auto" w:fill="ffffff"/>
        </w:rPr>
        <w:t>Journal of materials science</w:t>
      </w:r>
      <w:r>
        <w:rPr>
          <w:rFonts w:cs="Calibri"/>
          <w:color w:val="222222"/>
          <w:sz w:val="20"/>
          <w:szCs w:val="20"/>
          <w:shd w:val="clear" w:color="auto" w:fill="ffffff"/>
        </w:rPr>
        <w:t>, 2004, 39.10: 3269-3279.</w:t>
      </w:r>
    </w:p>
    <w:p>
      <w:pPr>
        <w:pStyle w:val="style179"/>
        <w:numPr>
          <w:ilvl w:val="0"/>
          <w:numId w:val="11"/>
        </w:numPr>
        <w:spacing w:lineRule="auto" w:line="240"/>
        <w:rPr>
          <w:rFonts w:cs="Calibri"/>
          <w:sz w:val="20"/>
          <w:szCs w:val="20"/>
          <w:lang w:val="en-US"/>
        </w:rPr>
      </w:pPr>
      <w:r>
        <w:rPr>
          <w:rFonts w:cs="Calibri"/>
          <w:color w:val="222222"/>
          <w:sz w:val="20"/>
          <w:szCs w:val="20"/>
          <w:shd w:val="clear" w:color="auto" w:fill="ffffff"/>
          <w:lang w:val="en-US"/>
        </w:rPr>
        <w:t>BLOCH, Felix; WALECKA, John Dirk. </w:t>
      </w:r>
      <w:r>
        <w:rPr>
          <w:rFonts w:cs="Calibri"/>
          <w:i/>
          <w:iCs/>
          <w:color w:val="222222"/>
          <w:sz w:val="20"/>
          <w:szCs w:val="20"/>
          <w:shd w:val="clear" w:color="auto" w:fill="ffffff"/>
          <w:lang w:val="en-US"/>
        </w:rPr>
        <w:t>Fundamentals of statistical mechanics: manuscript and notes of Felix Bloch</w:t>
      </w:r>
      <w:r>
        <w:rPr>
          <w:rFonts w:cs="Calibri"/>
          <w:color w:val="222222"/>
          <w:sz w:val="20"/>
          <w:szCs w:val="20"/>
          <w:shd w:val="clear" w:color="auto" w:fill="ffffff"/>
          <w:lang w:val="en-US"/>
        </w:rPr>
        <w:t xml:space="preserve">. </w:t>
      </w:r>
      <w:r>
        <w:rPr>
          <w:rFonts w:cs="Calibri"/>
          <w:color w:val="222222"/>
          <w:sz w:val="20"/>
          <w:szCs w:val="20"/>
          <w:shd w:val="clear" w:color="auto" w:fill="ffffff"/>
        </w:rPr>
        <w:t>World Scientific, 2000.</w:t>
      </w:r>
    </w:p>
    <w:p>
      <w:pPr>
        <w:pStyle w:val="style179"/>
        <w:numPr>
          <w:ilvl w:val="0"/>
          <w:numId w:val="11"/>
        </w:numPr>
        <w:spacing w:lineRule="auto" w:line="240"/>
        <w:rPr>
          <w:rFonts w:cs="Calibri"/>
          <w:sz w:val="20"/>
          <w:szCs w:val="20"/>
          <w:lang w:val="en-US"/>
        </w:rPr>
      </w:pPr>
      <w:r>
        <w:rPr>
          <w:rFonts w:cs="Calibri"/>
          <w:color w:val="222222"/>
          <w:sz w:val="20"/>
          <w:szCs w:val="20"/>
          <w:shd w:val="clear" w:color="auto" w:fill="ffffff"/>
          <w:lang w:val="en-US"/>
        </w:rPr>
        <w:t>FARZBOD, Farhad; LEAMY, Michael J. Analysis of Bloch’s method and the propagation technique in periodic structures. </w:t>
      </w:r>
      <w:r>
        <w:rPr>
          <w:rFonts w:cs="Calibri"/>
          <w:i/>
          <w:iCs/>
          <w:color w:val="222222"/>
          <w:sz w:val="20"/>
          <w:szCs w:val="20"/>
          <w:shd w:val="clear" w:color="auto" w:fill="ffffff"/>
          <w:lang w:val="en-US"/>
        </w:rPr>
        <w:t>Journal of vibration and acoustics</w:t>
      </w:r>
      <w:r>
        <w:rPr>
          <w:rFonts w:cs="Calibri"/>
          <w:color w:val="222222"/>
          <w:sz w:val="20"/>
          <w:szCs w:val="20"/>
          <w:shd w:val="clear" w:color="auto" w:fill="ffffff"/>
          <w:lang w:val="en-US"/>
        </w:rPr>
        <w:t>, 2011, 133.3.</w:t>
      </w:r>
    </w:p>
    <w:p>
      <w:pPr>
        <w:pStyle w:val="style179"/>
        <w:numPr>
          <w:ilvl w:val="0"/>
          <w:numId w:val="11"/>
        </w:numPr>
        <w:spacing w:lineRule="auto" w:line="240"/>
        <w:rPr>
          <w:rFonts w:cs="Calibri"/>
          <w:sz w:val="20"/>
          <w:szCs w:val="20"/>
          <w:lang w:val="en-US"/>
        </w:rPr>
      </w:pPr>
      <w:r>
        <w:rPr>
          <w:rFonts w:cs="Calibri"/>
          <w:color w:val="222222"/>
          <w:sz w:val="20"/>
          <w:szCs w:val="20"/>
          <w:shd w:val="clear" w:color="auto" w:fill="ffffff"/>
          <w:lang w:val="en-US"/>
        </w:rPr>
        <w:t>GOMEZ GARCIA, Pablo; FERNÁNDEZ-ÁLVAREZ, José-Paulino. Floquet-Bloch theory and its application to the dispersion curves of nonperiodic layered systems. </w:t>
      </w:r>
      <w:r>
        <w:rPr>
          <w:rFonts w:cs="Calibri"/>
          <w:i/>
          <w:iCs/>
          <w:color w:val="222222"/>
          <w:sz w:val="20"/>
          <w:szCs w:val="20"/>
          <w:shd w:val="clear" w:color="auto" w:fill="ffffff"/>
        </w:rPr>
        <w:t>Mathematical Problems in Engineering</w:t>
      </w:r>
      <w:r>
        <w:rPr>
          <w:rFonts w:cs="Calibri"/>
          <w:color w:val="222222"/>
          <w:sz w:val="20"/>
          <w:szCs w:val="20"/>
          <w:shd w:val="clear" w:color="auto" w:fill="ffffff"/>
        </w:rPr>
        <w:t>, 2015, 2015.</w:t>
      </w:r>
    </w:p>
    <w:p>
      <w:pPr>
        <w:pStyle w:val="style179"/>
        <w:numPr>
          <w:ilvl w:val="0"/>
          <w:numId w:val="11"/>
        </w:numPr>
        <w:spacing w:lineRule="auto" w:line="240"/>
        <w:rPr>
          <w:rFonts w:cs="Calibri"/>
          <w:sz w:val="20"/>
          <w:szCs w:val="20"/>
          <w:lang w:val="en-US"/>
        </w:rPr>
      </w:pPr>
      <w:r>
        <w:rPr>
          <w:rFonts w:cs="Calibri"/>
          <w:color w:val="222222"/>
          <w:sz w:val="20"/>
          <w:szCs w:val="20"/>
          <w:shd w:val="clear" w:color="auto" w:fill="ffffff"/>
          <w:lang w:val="en-US"/>
        </w:rPr>
        <w:t>VIYAND, Davood Mousanezhad. </w:t>
      </w:r>
      <w:r>
        <w:rPr>
          <w:rFonts w:cs="Calibri"/>
          <w:i/>
          <w:iCs/>
          <w:color w:val="222222"/>
          <w:sz w:val="20"/>
          <w:szCs w:val="20"/>
          <w:shd w:val="clear" w:color="auto" w:fill="ffffff"/>
          <w:lang w:val="en-US"/>
        </w:rPr>
        <w:t>Mechanics of chiral, anti-chiral, and hierarchical honeycombs</w:t>
      </w:r>
      <w:r>
        <w:rPr>
          <w:rFonts w:cs="Calibri"/>
          <w:color w:val="222222"/>
          <w:sz w:val="20"/>
          <w:szCs w:val="20"/>
          <w:shd w:val="clear" w:color="auto" w:fill="ffffff"/>
          <w:lang w:val="en-US"/>
        </w:rPr>
        <w:t xml:space="preserve">. </w:t>
      </w:r>
      <w:r>
        <w:rPr>
          <w:rFonts w:cs="Calibri"/>
          <w:color w:val="222222"/>
          <w:sz w:val="20"/>
          <w:szCs w:val="20"/>
          <w:shd w:val="clear" w:color="auto" w:fill="ffffff"/>
        </w:rPr>
        <w:t>Northeastern University, 2016.</w:t>
      </w:r>
    </w:p>
    <w:p>
      <w:pPr>
        <w:pStyle w:val="style179"/>
        <w:numPr>
          <w:ilvl w:val="0"/>
          <w:numId w:val="11"/>
        </w:numPr>
        <w:spacing w:lineRule="auto" w:line="240"/>
        <w:rPr>
          <w:rFonts w:cs="Calibri"/>
          <w:sz w:val="20"/>
          <w:szCs w:val="20"/>
          <w:lang w:val="en-US"/>
        </w:rPr>
      </w:pPr>
      <w:r>
        <w:rPr>
          <w:rFonts w:cs="Calibri"/>
          <w:color w:val="222222"/>
          <w:sz w:val="20"/>
          <w:szCs w:val="20"/>
          <w:shd w:val="clear" w:color="auto" w:fill="ffffff"/>
          <w:lang w:val="en-US"/>
        </w:rPr>
        <w:t>COLLET, Manuel, et al. Floquet–Bloch decomposition for the computation of dispersion of two-dimensional periodic, damped mechanical systems. </w:t>
      </w:r>
      <w:r>
        <w:rPr>
          <w:rFonts w:cs="Calibri"/>
          <w:i/>
          <w:iCs/>
          <w:color w:val="222222"/>
          <w:sz w:val="20"/>
          <w:szCs w:val="20"/>
          <w:shd w:val="clear" w:color="auto" w:fill="ffffff"/>
        </w:rPr>
        <w:t>International Journal of Solids and Structures</w:t>
      </w:r>
      <w:r>
        <w:rPr>
          <w:rFonts w:cs="Calibri"/>
          <w:color w:val="222222"/>
          <w:sz w:val="20"/>
          <w:szCs w:val="20"/>
          <w:shd w:val="clear" w:color="auto" w:fill="ffffff"/>
        </w:rPr>
        <w:t>, 2011, 48.20: 2837-2848.</w:t>
      </w:r>
    </w:p>
    <w:p>
      <w:pPr>
        <w:pStyle w:val="style179"/>
        <w:numPr>
          <w:ilvl w:val="0"/>
          <w:numId w:val="11"/>
        </w:numPr>
        <w:spacing w:lineRule="auto" w:line="240"/>
        <w:rPr>
          <w:rFonts w:cs="Calibri"/>
          <w:sz w:val="20"/>
          <w:szCs w:val="20"/>
          <w:lang w:val="en-US"/>
        </w:rPr>
      </w:pPr>
      <w:r>
        <w:rPr>
          <w:rFonts w:cs="Calibri"/>
          <w:color w:val="222222"/>
          <w:sz w:val="20"/>
          <w:szCs w:val="20"/>
          <w:shd w:val="clear" w:color="auto" w:fill="ffffff"/>
          <w:lang w:val="en-US"/>
        </w:rPr>
        <w:t>MAURIN, Florian, et al. Probability that a band-gap extremum is located on the irreducible Brillouin-zone contour for the 17 different plane crystallographic lattices. </w:t>
      </w:r>
      <w:r>
        <w:rPr>
          <w:rFonts w:cs="Calibri"/>
          <w:i/>
          <w:iCs/>
          <w:color w:val="222222"/>
          <w:sz w:val="20"/>
          <w:szCs w:val="20"/>
          <w:shd w:val="clear" w:color="auto" w:fill="ffffff"/>
        </w:rPr>
        <w:t>International Journal of Solids and Structures</w:t>
      </w:r>
      <w:r>
        <w:rPr>
          <w:rFonts w:cs="Calibri"/>
          <w:color w:val="222222"/>
          <w:sz w:val="20"/>
          <w:szCs w:val="20"/>
          <w:shd w:val="clear" w:color="auto" w:fill="ffffff"/>
        </w:rPr>
        <w:t>, 2018, 135: 26-36.</w:t>
      </w:r>
    </w:p>
    <w:p>
      <w:pPr>
        <w:pStyle w:val="style179"/>
        <w:numPr>
          <w:ilvl w:val="0"/>
          <w:numId w:val="11"/>
        </w:numPr>
        <w:spacing w:lineRule="auto" w:line="240"/>
        <w:rPr>
          <w:rFonts w:cs="Calibri"/>
          <w:sz w:val="20"/>
          <w:szCs w:val="20"/>
          <w:lang w:val="en-US"/>
        </w:rPr>
      </w:pPr>
      <w:r>
        <w:rPr>
          <w:rFonts w:cs="Calibri"/>
          <w:color w:val="222222"/>
          <w:sz w:val="20"/>
          <w:szCs w:val="20"/>
          <w:shd w:val="clear" w:color="auto" w:fill="ffffff"/>
          <w:lang w:val="en-US"/>
        </w:rPr>
        <w:t>CHEN, Luyun; GUO, Yongjin; YI, Hong. Optimization study of bandgaps properties for two-dimensional chiral phononic crystals base on lightweight design. </w:t>
      </w:r>
      <w:r>
        <w:rPr>
          <w:rFonts w:cs="Calibri"/>
          <w:i/>
          <w:iCs/>
          <w:color w:val="222222"/>
          <w:sz w:val="20"/>
          <w:szCs w:val="20"/>
          <w:shd w:val="clear" w:color="auto" w:fill="ffffff"/>
        </w:rPr>
        <w:t>Physics Letters A</w:t>
      </w:r>
      <w:r>
        <w:rPr>
          <w:rFonts w:cs="Calibri"/>
          <w:color w:val="222222"/>
          <w:sz w:val="20"/>
          <w:szCs w:val="20"/>
          <w:shd w:val="clear" w:color="auto" w:fill="ffffff"/>
        </w:rPr>
        <w:t>, 2021, 388: 127054.</w:t>
      </w:r>
    </w:p>
    <w:p>
      <w:pPr>
        <w:pStyle w:val="style179"/>
        <w:numPr>
          <w:ilvl w:val="0"/>
          <w:numId w:val="11"/>
        </w:numPr>
        <w:spacing w:lineRule="auto" w:line="240"/>
        <w:rPr>
          <w:rFonts w:cs="Calibri"/>
          <w:sz w:val="20"/>
          <w:szCs w:val="20"/>
          <w:lang w:val="en-US"/>
        </w:rPr>
      </w:pPr>
      <w:r>
        <w:rPr>
          <w:rFonts w:cs="Calibri"/>
          <w:color w:val="222222"/>
          <w:sz w:val="20"/>
          <w:szCs w:val="20"/>
          <w:shd w:val="clear" w:color="auto" w:fill="ffffff"/>
          <w:lang w:val="en-US"/>
        </w:rPr>
        <w:t>MOUSANEZHAD, Davood, et al. Elastic properties of chiral, anti-chiral, and hierarchical honeycombs: a simple energy-based approach. </w:t>
      </w:r>
      <w:r>
        <w:rPr>
          <w:rFonts w:cs="Calibri"/>
          <w:i/>
          <w:iCs/>
          <w:color w:val="222222"/>
          <w:sz w:val="20"/>
          <w:szCs w:val="20"/>
          <w:shd w:val="clear" w:color="auto" w:fill="ffffff"/>
        </w:rPr>
        <w:t>Theoretical and Applied Mechanics Letters</w:t>
      </w:r>
      <w:r>
        <w:rPr>
          <w:rFonts w:cs="Calibri"/>
          <w:color w:val="222222"/>
          <w:sz w:val="20"/>
          <w:szCs w:val="20"/>
          <w:shd w:val="clear" w:color="auto" w:fill="ffffff"/>
        </w:rPr>
        <w:t>, 2016, 6.2: 81-96.</w:t>
      </w:r>
    </w:p>
    <w:p>
      <w:pPr>
        <w:pStyle w:val="style179"/>
        <w:numPr>
          <w:ilvl w:val="0"/>
          <w:numId w:val="11"/>
        </w:numPr>
        <w:spacing w:lineRule="auto" w:line="240"/>
        <w:rPr>
          <w:rFonts w:cs="Calibri"/>
          <w:sz w:val="20"/>
          <w:szCs w:val="20"/>
          <w:lang w:val="en-US"/>
        </w:rPr>
      </w:pPr>
      <w:r>
        <w:rPr>
          <w:rFonts w:cs="Calibri"/>
          <w:color w:val="222222"/>
          <w:sz w:val="20"/>
          <w:szCs w:val="20"/>
          <w:shd w:val="clear" w:color="auto" w:fill="ffffff"/>
          <w:lang w:val="en-US"/>
        </w:rPr>
        <w:t>BLOCH, Felix. Über die quantenmechanik der elektronen in kristallgittern. </w:t>
      </w:r>
      <w:r>
        <w:rPr>
          <w:rFonts w:cs="Calibri"/>
          <w:i/>
          <w:iCs/>
          <w:color w:val="222222"/>
          <w:sz w:val="20"/>
          <w:szCs w:val="20"/>
          <w:shd w:val="clear" w:color="auto" w:fill="ffffff"/>
        </w:rPr>
        <w:t>Zeitschrift für physik</w:t>
      </w:r>
      <w:r>
        <w:rPr>
          <w:rFonts w:cs="Calibri"/>
          <w:color w:val="222222"/>
          <w:sz w:val="20"/>
          <w:szCs w:val="20"/>
          <w:shd w:val="clear" w:color="auto" w:fill="ffffff"/>
        </w:rPr>
        <w:t>, 1929, 52.7: 555-600.</w:t>
      </w:r>
    </w:p>
    <w:p>
      <w:pPr>
        <w:pStyle w:val="style179"/>
        <w:numPr>
          <w:ilvl w:val="0"/>
          <w:numId w:val="11"/>
        </w:numPr>
        <w:spacing w:lineRule="auto" w:line="240"/>
        <w:rPr>
          <w:rFonts w:cs="Calibri"/>
          <w:sz w:val="20"/>
          <w:szCs w:val="20"/>
          <w:lang w:val="en-US"/>
        </w:rPr>
      </w:pPr>
      <w:r>
        <w:rPr>
          <w:rFonts w:cs="Calibri"/>
          <w:color w:val="222222"/>
          <w:sz w:val="20"/>
          <w:szCs w:val="20"/>
          <w:shd w:val="clear" w:color="auto" w:fill="ffffff"/>
          <w:lang w:val="en-US"/>
        </w:rPr>
        <w:t xml:space="preserve">FLOQUET, Gaston. Sur les équations différentielles linéaires à coefficients périodiques. </w:t>
      </w:r>
      <w:r>
        <w:rPr>
          <w:rFonts w:cs="Calibri"/>
          <w:color w:val="222222"/>
          <w:sz w:val="20"/>
          <w:szCs w:val="20"/>
          <w:shd w:val="clear" w:color="auto" w:fill="ffffff"/>
        </w:rPr>
        <w:t>In: </w:t>
      </w:r>
      <w:r>
        <w:rPr>
          <w:rFonts w:cs="Calibri"/>
          <w:i/>
          <w:iCs/>
          <w:color w:val="222222"/>
          <w:sz w:val="20"/>
          <w:szCs w:val="20"/>
          <w:shd w:val="clear" w:color="auto" w:fill="ffffff"/>
        </w:rPr>
        <w:t>Annales scientifiques de l'École normale supérieure</w:t>
      </w:r>
      <w:r>
        <w:rPr>
          <w:rFonts w:cs="Calibri"/>
          <w:color w:val="222222"/>
          <w:sz w:val="20"/>
          <w:szCs w:val="20"/>
          <w:shd w:val="clear" w:color="auto" w:fill="ffffff"/>
        </w:rPr>
        <w:t>. 1883. p. 47-88.</w:t>
      </w:r>
    </w:p>
    <w:p>
      <w:pPr>
        <w:pStyle w:val="style179"/>
        <w:numPr>
          <w:ilvl w:val="0"/>
          <w:numId w:val="11"/>
        </w:numPr>
        <w:spacing w:lineRule="auto" w:line="240"/>
        <w:rPr>
          <w:rFonts w:cs="Calibri"/>
          <w:sz w:val="20"/>
          <w:szCs w:val="20"/>
          <w:lang w:val="en-US"/>
        </w:rPr>
      </w:pPr>
      <w:r>
        <w:rPr>
          <w:rFonts w:cs="Calibri"/>
          <w:color w:val="222222"/>
          <w:sz w:val="20"/>
          <w:szCs w:val="20"/>
          <w:shd w:val="clear" w:color="auto" w:fill="ffffff"/>
          <w:lang w:val="en-US"/>
        </w:rPr>
        <w:t>KOUTSIANITIS, Panagiotis I.; TAIRIDIS, Georgios K.; STAVROULAKIS, Georgios E. Shunted piezoelectric patches on auxetic microstructures for the enhancement of band gaps. </w:t>
      </w:r>
      <w:r>
        <w:rPr>
          <w:rFonts w:cs="Calibri"/>
          <w:i/>
          <w:iCs/>
          <w:color w:val="222222"/>
          <w:sz w:val="20"/>
          <w:szCs w:val="20"/>
          <w:shd w:val="clear" w:color="auto" w:fill="ffffff"/>
        </w:rPr>
        <w:t>Archive of Applied Mechanics</w:t>
      </w:r>
      <w:r>
        <w:rPr>
          <w:rFonts w:cs="Calibri"/>
          <w:color w:val="222222"/>
          <w:sz w:val="20"/>
          <w:szCs w:val="20"/>
          <w:shd w:val="clear" w:color="auto" w:fill="ffffff"/>
        </w:rPr>
        <w:t>, 2021, 91.2: 739-751.</w:t>
      </w:r>
    </w:p>
    <w:p>
      <w:pPr>
        <w:pStyle w:val="style179"/>
        <w:numPr>
          <w:ilvl w:val="0"/>
          <w:numId w:val="11"/>
        </w:numPr>
        <w:spacing w:lineRule="auto" w:line="240"/>
        <w:rPr>
          <w:rFonts w:cs="Calibri"/>
          <w:sz w:val="20"/>
          <w:szCs w:val="20"/>
          <w:lang w:val="en-US"/>
        </w:rPr>
      </w:pPr>
      <w:r>
        <w:rPr>
          <w:rFonts w:cs="Calibri"/>
          <w:color w:val="222222"/>
          <w:sz w:val="20"/>
          <w:szCs w:val="20"/>
          <w:shd w:val="clear" w:color="auto" w:fill="ffffff"/>
          <w:lang w:val="en-US"/>
        </w:rPr>
        <w:t>KITTEL, Charles; WILEY, John. </w:t>
      </w:r>
      <w:r>
        <w:rPr>
          <w:rFonts w:cs="Calibri"/>
          <w:i/>
          <w:iCs/>
          <w:color w:val="222222"/>
          <w:sz w:val="20"/>
          <w:szCs w:val="20"/>
          <w:shd w:val="clear" w:color="auto" w:fill="ffffff"/>
          <w:lang w:val="en-US"/>
        </w:rPr>
        <w:t>Elementary solid state physics: a short course</w:t>
      </w:r>
      <w:r>
        <w:rPr>
          <w:rFonts w:cs="Calibri"/>
          <w:color w:val="222222"/>
          <w:sz w:val="20"/>
          <w:szCs w:val="20"/>
          <w:shd w:val="clear" w:color="auto" w:fill="ffffff"/>
          <w:lang w:val="en-US"/>
        </w:rPr>
        <w:t xml:space="preserve">. </w:t>
      </w:r>
      <w:r>
        <w:rPr>
          <w:rFonts w:cs="Calibri"/>
          <w:color w:val="222222"/>
          <w:sz w:val="20"/>
          <w:szCs w:val="20"/>
          <w:shd w:val="clear" w:color="auto" w:fill="ffffff"/>
        </w:rPr>
        <w:t>Wiley, 1962.</w:t>
      </w:r>
    </w:p>
    <w:p>
      <w:pPr>
        <w:pStyle w:val="style179"/>
        <w:numPr>
          <w:ilvl w:val="0"/>
          <w:numId w:val="11"/>
        </w:numPr>
        <w:spacing w:lineRule="auto" w:line="240"/>
        <w:rPr>
          <w:rFonts w:cs="Calibri"/>
          <w:sz w:val="20"/>
          <w:szCs w:val="20"/>
          <w:lang w:val="en-US"/>
        </w:rPr>
      </w:pPr>
      <w:r>
        <w:rPr>
          <w:rFonts w:cs="Calibri"/>
          <w:color w:val="222222"/>
          <w:sz w:val="20"/>
          <w:szCs w:val="20"/>
          <w:shd w:val="clear" w:color="auto" w:fill="ffffff"/>
          <w:lang w:val="en-US"/>
        </w:rPr>
        <w:t>PHANI, A. Srikantha; WOODHOUSE, J.; FLECK, N. A. Wave propagation in two-dimensional periodic lattices. </w:t>
      </w:r>
      <w:r>
        <w:rPr>
          <w:rFonts w:cs="Calibri"/>
          <w:i/>
          <w:iCs/>
          <w:color w:val="222222"/>
          <w:sz w:val="20"/>
          <w:szCs w:val="20"/>
          <w:shd w:val="clear" w:color="auto" w:fill="ffffff"/>
        </w:rPr>
        <w:t>The Journal of the Acoustical Society of America</w:t>
      </w:r>
      <w:r>
        <w:rPr>
          <w:rFonts w:cs="Calibri"/>
          <w:color w:val="222222"/>
          <w:sz w:val="20"/>
          <w:szCs w:val="20"/>
          <w:shd w:val="clear" w:color="auto" w:fill="ffffff"/>
        </w:rPr>
        <w:t>, 2006, 119.4: 1995-2005.</w:t>
      </w:r>
    </w:p>
    <w:p>
      <w:pPr>
        <w:pStyle w:val="style179"/>
        <w:numPr>
          <w:ilvl w:val="0"/>
          <w:numId w:val="11"/>
        </w:numPr>
        <w:spacing w:lineRule="auto" w:line="240"/>
        <w:rPr>
          <w:rFonts w:cs="Calibri"/>
          <w:sz w:val="20"/>
          <w:szCs w:val="20"/>
          <w:lang w:val="en-US"/>
        </w:rPr>
      </w:pPr>
      <w:r>
        <w:rPr>
          <w:rFonts w:cs="Calibri"/>
          <w:color w:val="222222"/>
          <w:sz w:val="20"/>
          <w:szCs w:val="20"/>
          <w:shd w:val="clear" w:color="auto" w:fill="ffffff"/>
          <w:lang w:val="en-US"/>
        </w:rPr>
        <w:t>TEE, K. F., et al. Wave propagation in auxetic tetrachiral honeycombs. </w:t>
      </w:r>
      <w:r>
        <w:rPr>
          <w:rFonts w:cs="Calibri"/>
          <w:i/>
          <w:iCs/>
          <w:color w:val="222222"/>
          <w:sz w:val="20"/>
          <w:szCs w:val="20"/>
          <w:shd w:val="clear" w:color="auto" w:fill="ffffff"/>
        </w:rPr>
        <w:t>Journal of Vibration and Acoustics</w:t>
      </w:r>
      <w:r>
        <w:rPr>
          <w:rFonts w:cs="Calibri"/>
          <w:color w:val="222222"/>
          <w:sz w:val="20"/>
          <w:szCs w:val="20"/>
          <w:shd w:val="clear" w:color="auto" w:fill="ffffff"/>
        </w:rPr>
        <w:t>, 2010, 132.3.</w:t>
      </w:r>
    </w:p>
    <w:p>
      <w:pPr>
        <w:pStyle w:val="style179"/>
        <w:numPr>
          <w:ilvl w:val="0"/>
          <w:numId w:val="11"/>
        </w:numPr>
        <w:spacing w:lineRule="auto" w:line="240"/>
        <w:rPr>
          <w:rFonts w:cs="Calibri"/>
          <w:sz w:val="20"/>
          <w:szCs w:val="20"/>
          <w:lang w:val="en-US"/>
        </w:rPr>
      </w:pPr>
      <w:r>
        <w:rPr>
          <w:rFonts w:cs="Calibri"/>
          <w:color w:val="222222"/>
          <w:sz w:val="20"/>
          <w:szCs w:val="20"/>
          <w:shd w:val="clear" w:color="auto" w:fill="ffffff"/>
          <w:lang w:val="en-US"/>
        </w:rPr>
        <w:t>SPADONI, Alessandro, et al. Phononic properties of hexagonal chiral lattices. </w:t>
      </w:r>
      <w:r>
        <w:rPr>
          <w:rFonts w:cs="Calibri"/>
          <w:i/>
          <w:iCs/>
          <w:color w:val="222222"/>
          <w:sz w:val="20"/>
          <w:szCs w:val="20"/>
          <w:shd w:val="clear" w:color="auto" w:fill="ffffff"/>
        </w:rPr>
        <w:t>Wave motion</w:t>
      </w:r>
      <w:r>
        <w:rPr>
          <w:rFonts w:cs="Calibri"/>
          <w:color w:val="222222"/>
          <w:sz w:val="20"/>
          <w:szCs w:val="20"/>
          <w:shd w:val="clear" w:color="auto" w:fill="ffffff"/>
        </w:rPr>
        <w:t>, 2009, 46.7: 435-450.</w:t>
      </w:r>
    </w:p>
    <w:p>
      <w:pPr>
        <w:pStyle w:val="style179"/>
        <w:numPr>
          <w:ilvl w:val="0"/>
          <w:numId w:val="11"/>
        </w:numPr>
        <w:spacing w:lineRule="auto" w:line="240"/>
        <w:rPr>
          <w:rFonts w:cs="Calibri"/>
          <w:sz w:val="20"/>
          <w:szCs w:val="20"/>
          <w:lang w:val="en-US"/>
        </w:rPr>
      </w:pPr>
      <w:r>
        <w:rPr>
          <w:rFonts w:cs="Calibri"/>
          <w:color w:val="222222"/>
          <w:sz w:val="20"/>
          <w:szCs w:val="20"/>
          <w:shd w:val="clear" w:color="auto" w:fill="ffffff"/>
          <w:lang w:val="en-US"/>
        </w:rPr>
        <w:t>KOUTSIANITIS, Panagiotis I., et al. Conventional and star-shaped auxetic materials for the creation of band gaps. </w:t>
      </w:r>
      <w:r>
        <w:rPr>
          <w:rFonts w:cs="Calibri"/>
          <w:i/>
          <w:iCs/>
          <w:color w:val="222222"/>
          <w:sz w:val="20"/>
          <w:szCs w:val="20"/>
          <w:shd w:val="clear" w:color="auto" w:fill="ffffff"/>
        </w:rPr>
        <w:t>Archive of Applied Mechanics</w:t>
      </w:r>
      <w:r>
        <w:rPr>
          <w:rFonts w:cs="Calibri"/>
          <w:color w:val="222222"/>
          <w:sz w:val="20"/>
          <w:szCs w:val="20"/>
          <w:shd w:val="clear" w:color="auto" w:fill="ffffff"/>
        </w:rPr>
        <w:t>, 2019, 89.12: 2545-2562.</w:t>
      </w:r>
    </w:p>
    <w:p>
      <w:pPr>
        <w:pStyle w:val="style179"/>
        <w:numPr>
          <w:ilvl w:val="0"/>
          <w:numId w:val="11"/>
        </w:numPr>
        <w:spacing w:lineRule="auto" w:line="240"/>
        <w:rPr>
          <w:rFonts w:cs="Calibri"/>
          <w:sz w:val="20"/>
          <w:szCs w:val="20"/>
          <w:lang w:val="en-US"/>
        </w:rPr>
      </w:pPr>
      <w:r>
        <w:rPr>
          <w:rFonts w:cs="Calibri"/>
          <w:color w:val="222222"/>
          <w:sz w:val="20"/>
          <w:szCs w:val="20"/>
          <w:shd w:val="clear" w:color="auto" w:fill="ffffff"/>
          <w:lang w:val="en-US"/>
        </w:rPr>
        <w:t>BACIGALUPO, Andrea; DE BELLIS, Maria Laura. Auxetic anti-tetrachiral materials: equivalent elastic properties and frequency band-gaps. </w:t>
      </w:r>
      <w:r>
        <w:rPr>
          <w:rFonts w:cs="Calibri"/>
          <w:i/>
          <w:iCs/>
          <w:color w:val="222222"/>
          <w:sz w:val="20"/>
          <w:szCs w:val="20"/>
          <w:shd w:val="clear" w:color="auto" w:fill="ffffff"/>
        </w:rPr>
        <w:t>Composite Structures</w:t>
      </w:r>
      <w:r>
        <w:rPr>
          <w:rFonts w:cs="Calibri"/>
          <w:color w:val="222222"/>
          <w:sz w:val="20"/>
          <w:szCs w:val="20"/>
          <w:shd w:val="clear" w:color="auto" w:fill="ffffff"/>
        </w:rPr>
        <w:t>, 2015, 131: 530-544.</w:t>
      </w:r>
    </w:p>
    <w:p>
      <w:pPr>
        <w:pStyle w:val="style179"/>
        <w:numPr>
          <w:ilvl w:val="0"/>
          <w:numId w:val="11"/>
        </w:numPr>
        <w:spacing w:lineRule="auto" w:line="240"/>
        <w:rPr>
          <w:rFonts w:cs="Calibri"/>
          <w:sz w:val="20"/>
          <w:szCs w:val="20"/>
          <w:lang w:val="en-US"/>
        </w:rPr>
      </w:pPr>
      <w:r>
        <w:rPr>
          <w:rFonts w:cs="Calibri"/>
          <w:i/>
          <w:iCs/>
          <w:color w:val="000000"/>
          <w:sz w:val="20"/>
          <w:szCs w:val="20"/>
          <w:lang w:val="en-US"/>
        </w:rPr>
        <w:t xml:space="preserve">KOUTSIANITIS, Panagiotis I.; TAIRIDIS, Georgios K.; KOUGKOULOS, Alexandros A.; STAVROULAKIS Georgios E. Effect of Chiral Materials on Presence of Band Gaps </w:t>
      </w:r>
      <w:r>
        <w:rPr>
          <w:rFonts w:cs="Calibri"/>
          <w:color w:val="000000"/>
          <w:sz w:val="20"/>
          <w:szCs w:val="20"/>
          <w:lang w:val="en-US"/>
        </w:rPr>
        <w:t>5th Serbian-Greek Symposium on Advanced Mechanics, 2021, 430-439</w:t>
      </w:r>
    </w:p>
    <w:p>
      <w:pPr>
        <w:pStyle w:val="style0"/>
        <w:ind w:left="360"/>
        <w:rPr>
          <w:rFonts w:cs="Calibri"/>
          <w:sz w:val="20"/>
          <w:szCs w:val="20"/>
          <w:lang w:val="en-US"/>
        </w:rPr>
      </w:pPr>
    </w:p>
    <w:p>
      <w:pPr>
        <w:pStyle w:val="style0"/>
        <w:rPr/>
      </w:pPr>
      <w:r>
        <w:rPr>
          <w:rFonts w:cs="Calibri"/>
          <w:b/>
          <w:bCs/>
          <w:sz w:val="20"/>
          <w:szCs w:val="20"/>
        </w:rPr>
        <w:fldChar w:fldCharType="end"/>
      </w:r>
    </w:p>
    <w:sectPr>
      <w:footerReference w:type="default" r:id="rId56"/>
      <w:pgSz w:w="11906" w:h="16838" w:orient="portrait"/>
      <w:pgMar w:top="1440" w:right="1800" w:bottom="1440" w:left="1800" w:header="720" w:footer="720" w:gutter="0"/>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altName w:val="Symbol"/>
    <w:panose1 w:val="05050102010007020507"/>
    <w:charset w:val="02"/>
    <w:family w:val="roman"/>
    <w:pitch w:val="variable"/>
    <w:sig w:usb0="00000000" w:usb1="10000000" w:usb2="00000000" w:usb3="00000000" w:csb0="80000000" w:csb1="00000000"/>
  </w:font>
  <w:font w:name="Times New Roman">
    <w:altName w:val="Times New Roman"/>
    <w:panose1 w:val="02020603050004020304"/>
    <w:charset w:val="a1"/>
    <w:family w:val="roman"/>
    <w:pitch w:val="variable"/>
    <w:sig w:usb0="E0002EFF" w:usb1="C000785B" w:usb2="00000009" w:usb3="00000000" w:csb0="000001FF" w:csb1="00000000"/>
  </w:font>
  <w:font w:name="Courier New">
    <w:altName w:val="Courier New"/>
    <w:panose1 w:val="02070309020002020404"/>
    <w:charset w:val="a1"/>
    <w:family w:val="modern"/>
    <w:pitch w:val="fixed"/>
    <w:sig w:usb0="E0002E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Calibri">
    <w:altName w:val="Calibri"/>
    <w:panose1 w:val="020f0502020002030204"/>
    <w:charset w:val="a1"/>
    <w:family w:val="swiss"/>
    <w:pitch w:val="variable"/>
    <w:sig w:usb0="E4002EFF" w:usb1="C000247B" w:usb2="00000009" w:usb3="00000000" w:csb0="000001FF" w:csb1="00000000"/>
  </w:font>
  <w:font w:name="Calibri Light">
    <w:altName w:val="Calibri Light"/>
    <w:panose1 w:val="020f0302020002030204"/>
    <w:charset w:val="a1"/>
    <w:family w:val="swiss"/>
    <w:pitch w:val="variable"/>
    <w:sig w:usb0="E4002EFF" w:usb1="C000247B" w:usb2="00000009" w:usb3="00000000" w:csb0="000001FF" w:csb1="00000000"/>
  </w:font>
  <w:font w:name="Cambria Math">
    <w:altName w:val="Cambria Math"/>
    <w:panose1 w:val="02040503050004030204"/>
    <w:charset w:val="a1"/>
    <w:family w:val="roman"/>
    <w:pitch w:val="variable"/>
    <w:sig w:usb0="E00006FF" w:usb1="420024FF" w:usb2="02000000" w:usb3="00000000" w:csb0="0000019F" w:csb1="00000000"/>
  </w:font>
</w:fonts>
</file>

<file path=word/footer1.xml><?xml version="1.0" encoding="utf-8"?>
<w:ftr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mc:Ignorable="w14 wp14">
  <w:p>
    <w:pPr>
      <w:pStyle w:val="style32"/>
      <w:jc w:val="right"/>
      <w:rPr/>
    </w:pPr>
    <w:r>
      <w:rPr/>
      <w:fldChar w:fldCharType="begin"/>
    </w:r>
    <w:r>
      <w:instrText>PAGE   \* MERGEFORMAT</w:instrText>
    </w:r>
    <w:r>
      <w:rPr/>
      <w:fldChar w:fldCharType="separate"/>
    </w:r>
    <w:r>
      <w:t>2</w:t>
    </w:r>
    <w:r>
      <w:rPr/>
      <w:fldChar w:fldCharType="end"/>
    </w:r>
  </w:p>
  <w:p>
    <w:pPr>
      <w:pStyle w:val="style32"/>
      <w:rPr/>
    </w:pPr>
  </w:p>
</w:ftr>
</file>

<file path=word/footer2.xml><?xml version="1.0" encoding="utf-8"?>
<w:ftr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mc:Ignorable="w14 wp14">
  <w:p>
    <w:pPr>
      <w:pStyle w:val="style32"/>
      <w:jc w:val="right"/>
      <w:rPr/>
    </w:pPr>
    <w:r>
      <w:rPr/>
      <w:fldChar w:fldCharType="begin"/>
    </w:r>
    <w:r>
      <w:instrText>PAGE   \* MERGEFORMAT</w:instrText>
    </w:r>
    <w:r>
      <w:rPr/>
      <w:fldChar w:fldCharType="separate"/>
    </w:r>
    <w:r>
      <w:t>2</w:t>
    </w:r>
    <w:r>
      <w:rPr/>
      <w:fldChar w:fldCharType="end"/>
    </w:r>
  </w:p>
  <w:p>
    <w:pPr>
      <w:pStyle w:val="style32"/>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package/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0"/>
    <w:multiLevelType w:val="hybridMultilevel"/>
    <w:tmpl w:val="0338ECC6"/>
    <w:lvl w:ilvl="0" w:tplc="04080001">
      <w:start w:val="1"/>
      <w:numFmt w:val="bullet"/>
      <w:lvlText w:val=""/>
      <w:lvlJc w:val="left"/>
      <w:pPr>
        <w:ind w:left="3600" w:hanging="360"/>
      </w:pPr>
      <w:rPr>
        <w:rFonts w:ascii="Symbol" w:hAnsi="Symbol" w:hint="default"/>
      </w:rPr>
    </w:lvl>
    <w:lvl w:ilvl="1" w:tplc="04080003" w:tentative="1">
      <w:start w:val="1"/>
      <w:numFmt w:val="bullet"/>
      <w:lvlText w:val="o"/>
      <w:lvlJc w:val="left"/>
      <w:pPr>
        <w:ind w:left="4320" w:hanging="360"/>
      </w:pPr>
      <w:rPr>
        <w:rFonts w:ascii="Courier New" w:cs="Courier New" w:hAnsi="Courier New" w:hint="default"/>
      </w:rPr>
    </w:lvl>
    <w:lvl w:ilvl="2" w:tplc="04080005" w:tentative="1">
      <w:start w:val="1"/>
      <w:numFmt w:val="bullet"/>
      <w:lvlText w:val=""/>
      <w:lvlJc w:val="left"/>
      <w:pPr>
        <w:ind w:left="5040" w:hanging="360"/>
      </w:pPr>
      <w:rPr>
        <w:rFonts w:ascii="Wingdings" w:hAnsi="Wingdings" w:hint="default"/>
      </w:rPr>
    </w:lvl>
    <w:lvl w:ilvl="3" w:tplc="04080001" w:tentative="1">
      <w:start w:val="1"/>
      <w:numFmt w:val="bullet"/>
      <w:lvlText w:val=""/>
      <w:lvlJc w:val="left"/>
      <w:pPr>
        <w:ind w:left="5760" w:hanging="360"/>
      </w:pPr>
      <w:rPr>
        <w:rFonts w:ascii="Symbol" w:hAnsi="Symbol" w:hint="default"/>
      </w:rPr>
    </w:lvl>
    <w:lvl w:ilvl="4" w:tplc="04080003" w:tentative="1">
      <w:start w:val="1"/>
      <w:numFmt w:val="bullet"/>
      <w:lvlText w:val="o"/>
      <w:lvlJc w:val="left"/>
      <w:pPr>
        <w:ind w:left="6480" w:hanging="360"/>
      </w:pPr>
      <w:rPr>
        <w:rFonts w:ascii="Courier New" w:cs="Courier New" w:hAnsi="Courier New" w:hint="default"/>
      </w:rPr>
    </w:lvl>
    <w:lvl w:ilvl="5" w:tplc="04080005" w:tentative="1">
      <w:start w:val="1"/>
      <w:numFmt w:val="bullet"/>
      <w:lvlText w:val=""/>
      <w:lvlJc w:val="left"/>
      <w:pPr>
        <w:ind w:left="7200" w:hanging="360"/>
      </w:pPr>
      <w:rPr>
        <w:rFonts w:ascii="Wingdings" w:hAnsi="Wingdings" w:hint="default"/>
      </w:rPr>
    </w:lvl>
    <w:lvl w:ilvl="6" w:tplc="04080001" w:tentative="1">
      <w:start w:val="1"/>
      <w:numFmt w:val="bullet"/>
      <w:lvlText w:val=""/>
      <w:lvlJc w:val="left"/>
      <w:pPr>
        <w:ind w:left="7920" w:hanging="360"/>
      </w:pPr>
      <w:rPr>
        <w:rFonts w:ascii="Symbol" w:hAnsi="Symbol" w:hint="default"/>
      </w:rPr>
    </w:lvl>
    <w:lvl w:ilvl="7" w:tplc="04080003" w:tentative="1">
      <w:start w:val="1"/>
      <w:numFmt w:val="bullet"/>
      <w:lvlText w:val="o"/>
      <w:lvlJc w:val="left"/>
      <w:pPr>
        <w:ind w:left="8640" w:hanging="360"/>
      </w:pPr>
      <w:rPr>
        <w:rFonts w:ascii="Courier New" w:cs="Courier New" w:hAnsi="Courier New" w:hint="default"/>
      </w:rPr>
    </w:lvl>
    <w:lvl w:ilvl="8" w:tplc="04080005" w:tentative="1">
      <w:start w:val="1"/>
      <w:numFmt w:val="bullet"/>
      <w:lvlText w:val=""/>
      <w:lvlJc w:val="left"/>
      <w:pPr>
        <w:ind w:left="9360" w:hanging="360"/>
      </w:pPr>
      <w:rPr>
        <w:rFonts w:ascii="Wingdings" w:hAnsi="Wingdings" w:hint="default"/>
      </w:rPr>
    </w:lvl>
  </w:abstractNum>
  <w:abstractNum w:abstractNumId="1">
    <w:nsid w:val="00000001"/>
    <w:multiLevelType w:val="hybridMultilevel"/>
    <w:tmpl w:val="1DE2BD4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cs="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cs="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cs="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00000002"/>
    <w:multiLevelType w:val="hybridMultilevel"/>
    <w:tmpl w:val="5C1048D6"/>
    <w:lvl w:ilvl="0" w:tplc="04080001">
      <w:start w:val="1"/>
      <w:numFmt w:val="bullet"/>
      <w:lvlText w:val=""/>
      <w:lvlJc w:val="left"/>
      <w:pPr>
        <w:ind w:left="360" w:hanging="360"/>
      </w:pPr>
      <w:rPr>
        <w:rFonts w:ascii="Symbol" w:hAnsi="Symbol" w:hint="default"/>
      </w:rPr>
    </w:lvl>
    <w:lvl w:ilvl="1" w:tplc="04080003">
      <w:start w:val="1"/>
      <w:numFmt w:val="bullet"/>
      <w:lvlText w:val="o"/>
      <w:lvlJc w:val="left"/>
      <w:pPr>
        <w:ind w:left="1080" w:hanging="360"/>
      </w:pPr>
      <w:rPr>
        <w:rFonts w:ascii="Courier New" w:cs="Courier New" w:hAnsi="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cs="Courier New" w:hAnsi="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cs="Courier New" w:hAnsi="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3">
    <w:nsid w:val="00000003"/>
    <w:multiLevelType w:val="hybridMultilevel"/>
    <w:tmpl w:val="7BACEE34"/>
    <w:lvl w:ilvl="0" w:tplc="51B033CE">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
    <w:nsid w:val="00000004"/>
    <w:multiLevelType w:val="hybridMultilevel"/>
    <w:tmpl w:val="F59C2BB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cs="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cs="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cs="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00000005"/>
    <w:multiLevelType w:val="hybridMultilevel"/>
    <w:tmpl w:val="AC4082B0"/>
    <w:lvl w:ilvl="0" w:tplc="51B033CE">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nsid w:val="00000006"/>
    <w:multiLevelType w:val="hybridMultilevel"/>
    <w:tmpl w:val="19449678"/>
    <w:lvl w:ilvl="0" w:tplc="04080001">
      <w:start w:val="1"/>
      <w:numFmt w:val="bullet"/>
      <w:lvlText w:val=""/>
      <w:lvlJc w:val="left"/>
      <w:pPr>
        <w:ind w:left="3600" w:hanging="360"/>
      </w:pPr>
      <w:rPr>
        <w:rFonts w:ascii="Symbol" w:hAnsi="Symbol" w:hint="default"/>
      </w:rPr>
    </w:lvl>
    <w:lvl w:ilvl="1" w:tplc="04080003" w:tentative="1">
      <w:start w:val="1"/>
      <w:numFmt w:val="bullet"/>
      <w:lvlText w:val="o"/>
      <w:lvlJc w:val="left"/>
      <w:pPr>
        <w:ind w:left="4320" w:hanging="360"/>
      </w:pPr>
      <w:rPr>
        <w:rFonts w:ascii="Courier New" w:cs="Courier New" w:hAnsi="Courier New" w:hint="default"/>
      </w:rPr>
    </w:lvl>
    <w:lvl w:ilvl="2" w:tplc="04080005" w:tentative="1">
      <w:start w:val="1"/>
      <w:numFmt w:val="bullet"/>
      <w:lvlText w:val=""/>
      <w:lvlJc w:val="left"/>
      <w:pPr>
        <w:ind w:left="5040" w:hanging="360"/>
      </w:pPr>
      <w:rPr>
        <w:rFonts w:ascii="Wingdings" w:hAnsi="Wingdings" w:hint="default"/>
      </w:rPr>
    </w:lvl>
    <w:lvl w:ilvl="3" w:tplc="04080001" w:tentative="1">
      <w:start w:val="1"/>
      <w:numFmt w:val="bullet"/>
      <w:lvlText w:val=""/>
      <w:lvlJc w:val="left"/>
      <w:pPr>
        <w:ind w:left="5760" w:hanging="360"/>
      </w:pPr>
      <w:rPr>
        <w:rFonts w:ascii="Symbol" w:hAnsi="Symbol" w:hint="default"/>
      </w:rPr>
    </w:lvl>
    <w:lvl w:ilvl="4" w:tplc="04080003" w:tentative="1">
      <w:start w:val="1"/>
      <w:numFmt w:val="bullet"/>
      <w:lvlText w:val="o"/>
      <w:lvlJc w:val="left"/>
      <w:pPr>
        <w:ind w:left="6480" w:hanging="360"/>
      </w:pPr>
      <w:rPr>
        <w:rFonts w:ascii="Courier New" w:cs="Courier New" w:hAnsi="Courier New" w:hint="default"/>
      </w:rPr>
    </w:lvl>
    <w:lvl w:ilvl="5" w:tplc="04080005" w:tentative="1">
      <w:start w:val="1"/>
      <w:numFmt w:val="bullet"/>
      <w:lvlText w:val=""/>
      <w:lvlJc w:val="left"/>
      <w:pPr>
        <w:ind w:left="7200" w:hanging="360"/>
      </w:pPr>
      <w:rPr>
        <w:rFonts w:ascii="Wingdings" w:hAnsi="Wingdings" w:hint="default"/>
      </w:rPr>
    </w:lvl>
    <w:lvl w:ilvl="6" w:tplc="04080001" w:tentative="1">
      <w:start w:val="1"/>
      <w:numFmt w:val="bullet"/>
      <w:lvlText w:val=""/>
      <w:lvlJc w:val="left"/>
      <w:pPr>
        <w:ind w:left="7920" w:hanging="360"/>
      </w:pPr>
      <w:rPr>
        <w:rFonts w:ascii="Symbol" w:hAnsi="Symbol" w:hint="default"/>
      </w:rPr>
    </w:lvl>
    <w:lvl w:ilvl="7" w:tplc="04080003" w:tentative="1">
      <w:start w:val="1"/>
      <w:numFmt w:val="bullet"/>
      <w:lvlText w:val="o"/>
      <w:lvlJc w:val="left"/>
      <w:pPr>
        <w:ind w:left="8640" w:hanging="360"/>
      </w:pPr>
      <w:rPr>
        <w:rFonts w:ascii="Courier New" w:cs="Courier New" w:hAnsi="Courier New" w:hint="default"/>
      </w:rPr>
    </w:lvl>
    <w:lvl w:ilvl="8" w:tplc="04080005" w:tentative="1">
      <w:start w:val="1"/>
      <w:numFmt w:val="bullet"/>
      <w:lvlText w:val=""/>
      <w:lvlJc w:val="left"/>
      <w:pPr>
        <w:ind w:left="9360" w:hanging="360"/>
      </w:pPr>
      <w:rPr>
        <w:rFonts w:ascii="Wingdings" w:hAnsi="Wingdings" w:hint="default"/>
      </w:rPr>
    </w:lvl>
  </w:abstractNum>
  <w:abstractNum w:abstractNumId="7">
    <w:nsid w:val="00000007"/>
    <w:multiLevelType w:val="hybridMultilevel"/>
    <w:tmpl w:val="53F2E9B2"/>
    <w:lvl w:ilvl="0" w:tplc="51B033CE">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nsid w:val="00000008"/>
    <w:multiLevelType w:val="hybridMultilevel"/>
    <w:tmpl w:val="A3AA2668"/>
    <w:lvl w:ilvl="0" w:tplc="04080001">
      <w:start w:val="1"/>
      <w:numFmt w:val="bullet"/>
      <w:lvlText w:val=""/>
      <w:lvlJc w:val="left"/>
      <w:pPr>
        <w:ind w:left="3600" w:hanging="360"/>
      </w:pPr>
      <w:rPr>
        <w:rFonts w:ascii="Symbol" w:hAnsi="Symbol" w:hint="default"/>
      </w:rPr>
    </w:lvl>
    <w:lvl w:ilvl="1" w:tplc="04080003" w:tentative="1">
      <w:start w:val="1"/>
      <w:numFmt w:val="bullet"/>
      <w:lvlText w:val="o"/>
      <w:lvlJc w:val="left"/>
      <w:pPr>
        <w:ind w:left="4320" w:hanging="360"/>
      </w:pPr>
      <w:rPr>
        <w:rFonts w:ascii="Courier New" w:cs="Courier New" w:hAnsi="Courier New" w:hint="default"/>
      </w:rPr>
    </w:lvl>
    <w:lvl w:ilvl="2" w:tplc="04080005" w:tentative="1">
      <w:start w:val="1"/>
      <w:numFmt w:val="bullet"/>
      <w:lvlText w:val=""/>
      <w:lvlJc w:val="left"/>
      <w:pPr>
        <w:ind w:left="5040" w:hanging="360"/>
      </w:pPr>
      <w:rPr>
        <w:rFonts w:ascii="Wingdings" w:hAnsi="Wingdings" w:hint="default"/>
      </w:rPr>
    </w:lvl>
    <w:lvl w:ilvl="3" w:tplc="04080001" w:tentative="1">
      <w:start w:val="1"/>
      <w:numFmt w:val="bullet"/>
      <w:lvlText w:val=""/>
      <w:lvlJc w:val="left"/>
      <w:pPr>
        <w:ind w:left="5760" w:hanging="360"/>
      </w:pPr>
      <w:rPr>
        <w:rFonts w:ascii="Symbol" w:hAnsi="Symbol" w:hint="default"/>
      </w:rPr>
    </w:lvl>
    <w:lvl w:ilvl="4" w:tplc="04080003" w:tentative="1">
      <w:start w:val="1"/>
      <w:numFmt w:val="bullet"/>
      <w:lvlText w:val="o"/>
      <w:lvlJc w:val="left"/>
      <w:pPr>
        <w:ind w:left="6480" w:hanging="360"/>
      </w:pPr>
      <w:rPr>
        <w:rFonts w:ascii="Courier New" w:cs="Courier New" w:hAnsi="Courier New" w:hint="default"/>
      </w:rPr>
    </w:lvl>
    <w:lvl w:ilvl="5" w:tplc="04080005" w:tentative="1">
      <w:start w:val="1"/>
      <w:numFmt w:val="bullet"/>
      <w:lvlText w:val=""/>
      <w:lvlJc w:val="left"/>
      <w:pPr>
        <w:ind w:left="7200" w:hanging="360"/>
      </w:pPr>
      <w:rPr>
        <w:rFonts w:ascii="Wingdings" w:hAnsi="Wingdings" w:hint="default"/>
      </w:rPr>
    </w:lvl>
    <w:lvl w:ilvl="6" w:tplc="04080001" w:tentative="1">
      <w:start w:val="1"/>
      <w:numFmt w:val="bullet"/>
      <w:lvlText w:val=""/>
      <w:lvlJc w:val="left"/>
      <w:pPr>
        <w:ind w:left="7920" w:hanging="360"/>
      </w:pPr>
      <w:rPr>
        <w:rFonts w:ascii="Symbol" w:hAnsi="Symbol" w:hint="default"/>
      </w:rPr>
    </w:lvl>
    <w:lvl w:ilvl="7" w:tplc="04080003" w:tentative="1">
      <w:start w:val="1"/>
      <w:numFmt w:val="bullet"/>
      <w:lvlText w:val="o"/>
      <w:lvlJc w:val="left"/>
      <w:pPr>
        <w:ind w:left="8640" w:hanging="360"/>
      </w:pPr>
      <w:rPr>
        <w:rFonts w:ascii="Courier New" w:cs="Courier New" w:hAnsi="Courier New" w:hint="default"/>
      </w:rPr>
    </w:lvl>
    <w:lvl w:ilvl="8" w:tplc="04080005" w:tentative="1">
      <w:start w:val="1"/>
      <w:numFmt w:val="bullet"/>
      <w:lvlText w:val=""/>
      <w:lvlJc w:val="left"/>
      <w:pPr>
        <w:ind w:left="9360" w:hanging="360"/>
      </w:pPr>
      <w:rPr>
        <w:rFonts w:ascii="Wingdings" w:hAnsi="Wingdings" w:hint="default"/>
      </w:rPr>
    </w:lvl>
  </w:abstractNum>
  <w:abstractNum w:abstractNumId="9">
    <w:nsid w:val="00000009"/>
    <w:multiLevelType w:val="hybridMultilevel"/>
    <w:tmpl w:val="46B887D4"/>
    <w:lvl w:ilvl="0" w:tplc="04080001">
      <w:start w:val="1"/>
      <w:numFmt w:val="bullet"/>
      <w:lvlText w:val=""/>
      <w:lvlJc w:val="left"/>
      <w:pPr>
        <w:ind w:left="3600" w:hanging="360"/>
      </w:pPr>
      <w:rPr>
        <w:rFonts w:ascii="Symbol" w:hAnsi="Symbol" w:hint="default"/>
      </w:rPr>
    </w:lvl>
    <w:lvl w:ilvl="1" w:tplc="04080003" w:tentative="1">
      <w:start w:val="1"/>
      <w:numFmt w:val="bullet"/>
      <w:lvlText w:val="o"/>
      <w:lvlJc w:val="left"/>
      <w:pPr>
        <w:ind w:left="4320" w:hanging="360"/>
      </w:pPr>
      <w:rPr>
        <w:rFonts w:ascii="Courier New" w:cs="Courier New" w:hAnsi="Courier New" w:hint="default"/>
      </w:rPr>
    </w:lvl>
    <w:lvl w:ilvl="2" w:tplc="04080005" w:tentative="1">
      <w:start w:val="1"/>
      <w:numFmt w:val="bullet"/>
      <w:lvlText w:val=""/>
      <w:lvlJc w:val="left"/>
      <w:pPr>
        <w:ind w:left="5040" w:hanging="360"/>
      </w:pPr>
      <w:rPr>
        <w:rFonts w:ascii="Wingdings" w:hAnsi="Wingdings" w:hint="default"/>
      </w:rPr>
    </w:lvl>
    <w:lvl w:ilvl="3" w:tplc="04080001" w:tentative="1">
      <w:start w:val="1"/>
      <w:numFmt w:val="bullet"/>
      <w:lvlText w:val=""/>
      <w:lvlJc w:val="left"/>
      <w:pPr>
        <w:ind w:left="5760" w:hanging="360"/>
      </w:pPr>
      <w:rPr>
        <w:rFonts w:ascii="Symbol" w:hAnsi="Symbol" w:hint="default"/>
      </w:rPr>
    </w:lvl>
    <w:lvl w:ilvl="4" w:tplc="04080003" w:tentative="1">
      <w:start w:val="1"/>
      <w:numFmt w:val="bullet"/>
      <w:lvlText w:val="o"/>
      <w:lvlJc w:val="left"/>
      <w:pPr>
        <w:ind w:left="6480" w:hanging="360"/>
      </w:pPr>
      <w:rPr>
        <w:rFonts w:ascii="Courier New" w:cs="Courier New" w:hAnsi="Courier New" w:hint="default"/>
      </w:rPr>
    </w:lvl>
    <w:lvl w:ilvl="5" w:tplc="04080005" w:tentative="1">
      <w:start w:val="1"/>
      <w:numFmt w:val="bullet"/>
      <w:lvlText w:val=""/>
      <w:lvlJc w:val="left"/>
      <w:pPr>
        <w:ind w:left="7200" w:hanging="360"/>
      </w:pPr>
      <w:rPr>
        <w:rFonts w:ascii="Wingdings" w:hAnsi="Wingdings" w:hint="default"/>
      </w:rPr>
    </w:lvl>
    <w:lvl w:ilvl="6" w:tplc="04080001" w:tentative="1">
      <w:start w:val="1"/>
      <w:numFmt w:val="bullet"/>
      <w:lvlText w:val=""/>
      <w:lvlJc w:val="left"/>
      <w:pPr>
        <w:ind w:left="7920" w:hanging="360"/>
      </w:pPr>
      <w:rPr>
        <w:rFonts w:ascii="Symbol" w:hAnsi="Symbol" w:hint="default"/>
      </w:rPr>
    </w:lvl>
    <w:lvl w:ilvl="7" w:tplc="04080003" w:tentative="1">
      <w:start w:val="1"/>
      <w:numFmt w:val="bullet"/>
      <w:lvlText w:val="o"/>
      <w:lvlJc w:val="left"/>
      <w:pPr>
        <w:ind w:left="8640" w:hanging="360"/>
      </w:pPr>
      <w:rPr>
        <w:rFonts w:ascii="Courier New" w:cs="Courier New" w:hAnsi="Courier New" w:hint="default"/>
      </w:rPr>
    </w:lvl>
    <w:lvl w:ilvl="8" w:tplc="04080005" w:tentative="1">
      <w:start w:val="1"/>
      <w:numFmt w:val="bullet"/>
      <w:lvlText w:val=""/>
      <w:lvlJc w:val="left"/>
      <w:pPr>
        <w:ind w:left="9360" w:hanging="360"/>
      </w:pPr>
      <w:rPr>
        <w:rFonts w:ascii="Wingdings" w:hAnsi="Wingdings" w:hint="default"/>
      </w:rPr>
    </w:lvl>
  </w:abstractNum>
  <w:abstractNum w:abstractNumId="10">
    <w:nsid w:val="0000000A"/>
    <w:multiLevelType w:val="hybridMultilevel"/>
    <w:tmpl w:val="2BAE2E6A"/>
    <w:lvl w:ilvl="0" w:tplc="0408000F">
      <w:start w:val="1"/>
      <w:numFmt w:val="decimal"/>
      <w:lvlText w:val="%1."/>
      <w:lvlJc w:val="left"/>
      <w:pPr>
        <w:ind w:left="1080" w:hanging="360"/>
      </w:p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num w:numId="1">
    <w:abstractNumId w:val="2"/>
  </w:num>
  <w:num w:numId="2">
    <w:abstractNumId w:val="1"/>
  </w:num>
  <w:num w:numId="3">
    <w:abstractNumId w:val="8"/>
  </w:num>
  <w:num w:numId="4">
    <w:abstractNumId w:val="0"/>
  </w:num>
  <w:num w:numId="5">
    <w:abstractNumId w:val="9"/>
  </w:num>
  <w:num w:numId="6">
    <w:abstractNumId w:val="6"/>
  </w:num>
  <w:num w:numId="7">
    <w:abstractNumId w:val="10"/>
  </w:num>
  <w:num w:numId="8">
    <w:abstractNumId w:val="4"/>
  </w:num>
  <w:num w:numId="9">
    <w:abstractNumId w:val="7"/>
  </w:num>
  <w:num w:numId="10">
    <w:abstractNumId w:val="3"/>
  </w:num>
  <w:num w:numId="11">
    <w:abstractNumId w:val="5"/>
  </w:num>
</w:numbering>
</file>

<file path=word/settings.xml><?xml version="1.0" encoding="utf-8"?>
<w:settings xmlns:w="http://schemas.openxmlformats.org/wordprocessingml/2006/main" xmlns:r="http://schemas.openxmlformats.org/officeDocument/2006/relationships" xmlns:m="http://schemas.openxmlformats.org/officeDocument/2006/math">
  <w:zoom w:percent="100"/>
  <w:proofState w:spelling="clean" w:grammar="clean"/>
  <w:stylePaneFormatFilter w:val="5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0"/>
  <w:stylePaneSortMethod w:val="0001"/>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w="http://schemas.openxmlformats.org/wordprocessingml/2006/main" xmlns:w14="http://schemas.microsoft.com/office/word/2010/wordml" mc:Ignorable="w14">
  <w:docDefaults>
    <w:rPrDefault>
      <w:rPr>
        <w:rFonts w:ascii="Calibri" w:cs="宋体" w:eastAsia="Calibri" w:hAnsi="Calibri"/>
        <w:sz w:val="22"/>
        <w:szCs w:val="22"/>
        <w:lang w:val="el-GR" w:bidi="ar-SA" w:eastAsia="en-US"/>
      </w:rPr>
    </w:rPrDefault>
    <w:pPrDefault>
      <w:pPr>
        <w:spacing w:after="160" w:lineRule="auto" w:line="259"/>
      </w:pPr>
    </w:pPrDefault>
  </w:docDefaults>
  <w:style w:type="paragraph" w:default="1" w:styleId="style0">
    <w:name w:val="Normal"/>
    <w:next w:val="style0"/>
    <w:qFormat/>
    <w:pPr/>
  </w:style>
  <w:style w:type="paragraph" w:styleId="style1">
    <w:name w:val="heading 1"/>
    <w:basedOn w:val="style0"/>
    <w:next w:val="style0"/>
    <w:link w:val="style4097"/>
    <w:qFormat/>
    <w:uiPriority w:val="9"/>
    <w:pPr>
      <w:keepNext/>
      <w:keepLines/>
      <w:spacing w:before="240" w:after="0"/>
      <w:outlineLvl w:val="0"/>
    </w:pPr>
    <w:rPr>
      <w:rFonts w:ascii="Calibri Light" w:cs="宋体" w:eastAsia="宋体" w:hAnsi="Calibri Light"/>
      <w:color w:val="2f5496"/>
      <w:sz w:val="32"/>
      <w:szCs w:val="32"/>
    </w:rPr>
  </w:style>
  <w:style w:type="paragraph" w:styleId="style2">
    <w:name w:val="heading 2"/>
    <w:basedOn w:val="style0"/>
    <w:next w:val="style0"/>
    <w:link w:val="style4098"/>
    <w:qFormat/>
    <w:uiPriority w:val="9"/>
    <w:pPr>
      <w:keepNext/>
      <w:keepLines/>
      <w:spacing w:before="40" w:after="0"/>
      <w:outlineLvl w:val="1"/>
    </w:pPr>
    <w:rPr>
      <w:rFonts w:ascii="Calibri Light" w:cs="宋体" w:eastAsia="宋体" w:hAnsi="Calibri Light"/>
      <w:color w:val="2f5496"/>
      <w:sz w:val="26"/>
      <w:szCs w:val="26"/>
    </w:rPr>
  </w:style>
  <w:style w:type="paragraph" w:styleId="style3">
    <w:name w:val="heading 3"/>
    <w:basedOn w:val="style0"/>
    <w:next w:val="style0"/>
    <w:link w:val="style4099"/>
    <w:qFormat/>
    <w:uiPriority w:val="9"/>
    <w:pPr>
      <w:keepNext/>
      <w:keepLines/>
      <w:spacing w:before="40" w:after="0"/>
      <w:outlineLvl w:val="2"/>
    </w:pPr>
    <w:rPr>
      <w:rFonts w:ascii="Calibri Light" w:cs="宋体" w:eastAsia="宋体" w:hAnsi="Calibri Light"/>
      <w:color w:val="1f3763"/>
      <w:sz w:val="24"/>
      <w:szCs w:val="24"/>
    </w:rPr>
  </w:style>
  <w:style w:type="character" w:default="1" w:styleId="style65">
    <w:name w:val="Default Paragraph Font"/>
    <w:next w:val="style65"/>
    <w:uiPriority w:val="1"/>
  </w:style>
  <w:style w:type="table" w:default="1" w:styleId="style105">
    <w:name w:val="Normal Table"/>
    <w:next w:val="style105"/>
    <w:uiPriority w:val="99"/>
    <w:pPr/>
    <w:rPr/>
    <w:tblPr>
      <w:tblInd w:w="0" w:type="dxa"/>
      <w:tblCellMar>
        <w:top w:w="0" w:type="dxa"/>
        <w:left w:w="108" w:type="dxa"/>
        <w:bottom w:w="0" w:type="dxa"/>
        <w:right w:w="108" w:type="dxa"/>
      </w:tblCellMar>
    </w:tblPr>
    <w:tcPr>
      <w:tcBorders/>
    </w:tcPr>
  </w:style>
  <w:style w:type="numbering" w:default="1" w:styleId="style107">
    <w:name w:val="No List"/>
    <w:next w:val="style107"/>
    <w:uiPriority w:val="99"/>
    <w:pPr/>
  </w:style>
  <w:style w:type="character" w:customStyle="1" w:styleId="style4097">
    <w:name w:val="Επικεφαλίδα 1 Char"/>
    <w:basedOn w:val="style65"/>
    <w:next w:val="style4097"/>
    <w:link w:val="style1"/>
    <w:uiPriority w:val="9"/>
    <w:rPr>
      <w:rFonts w:ascii="Calibri Light" w:cs="宋体" w:eastAsia="宋体" w:hAnsi="Calibri Light"/>
      <w:color w:val="2f5496"/>
      <w:sz w:val="32"/>
      <w:szCs w:val="32"/>
    </w:rPr>
  </w:style>
  <w:style w:type="paragraph" w:styleId="style266">
    <w:name w:val="TOC Heading"/>
    <w:basedOn w:val="style1"/>
    <w:next w:val="style0"/>
    <w:qFormat/>
    <w:uiPriority w:val="39"/>
    <w:pPr>
      <w:outlineLvl w:val="9"/>
    </w:pPr>
    <w:rPr>
      <w:lang w:eastAsia="el-GR"/>
    </w:rPr>
  </w:style>
  <w:style w:type="character" w:customStyle="1" w:styleId="style4098">
    <w:name w:val="Επικεφαλίδα 2 Char"/>
    <w:basedOn w:val="style65"/>
    <w:next w:val="style4098"/>
    <w:link w:val="style2"/>
    <w:uiPriority w:val="9"/>
    <w:rPr>
      <w:rFonts w:ascii="Calibri Light" w:cs="宋体" w:eastAsia="宋体" w:hAnsi="Calibri Light"/>
      <w:color w:val="2f5496"/>
      <w:sz w:val="26"/>
      <w:szCs w:val="26"/>
    </w:rPr>
  </w:style>
  <w:style w:type="paragraph" w:styleId="style19">
    <w:name w:val="toc 1"/>
    <w:basedOn w:val="style0"/>
    <w:next w:val="style0"/>
    <w:uiPriority w:val="39"/>
    <w:pPr>
      <w:spacing w:after="100"/>
    </w:pPr>
    <w:rPr/>
  </w:style>
  <w:style w:type="paragraph" w:styleId="style20">
    <w:name w:val="toc 2"/>
    <w:basedOn w:val="style0"/>
    <w:next w:val="style0"/>
    <w:uiPriority w:val="39"/>
    <w:pPr>
      <w:spacing w:after="100"/>
      <w:ind w:left="220"/>
    </w:pPr>
    <w:rPr/>
  </w:style>
  <w:style w:type="character" w:styleId="style85">
    <w:name w:val="Hyperlink"/>
    <w:basedOn w:val="style65"/>
    <w:next w:val="style85"/>
    <w:uiPriority w:val="99"/>
    <w:rPr>
      <w:color w:val="0563c1"/>
      <w:u w:val="single"/>
    </w:rPr>
  </w:style>
  <w:style w:type="character" w:customStyle="1" w:styleId="style4099">
    <w:name w:val="Επικεφαλίδα 3 Char"/>
    <w:basedOn w:val="style65"/>
    <w:next w:val="style4099"/>
    <w:link w:val="style3"/>
    <w:uiPriority w:val="9"/>
    <w:rPr>
      <w:rFonts w:ascii="Calibri Light" w:cs="宋体" w:eastAsia="宋体" w:hAnsi="Calibri Light"/>
      <w:color w:val="1f3763"/>
      <w:sz w:val="24"/>
      <w:szCs w:val="24"/>
    </w:rPr>
  </w:style>
  <w:style w:type="paragraph" w:styleId="style21">
    <w:name w:val="toc 3"/>
    <w:basedOn w:val="style0"/>
    <w:next w:val="style0"/>
    <w:uiPriority w:val="39"/>
    <w:pPr>
      <w:spacing w:after="100"/>
      <w:ind w:left="440"/>
    </w:pPr>
    <w:rPr/>
  </w:style>
  <w:style w:type="paragraph" w:styleId="style31">
    <w:name w:val="header"/>
    <w:basedOn w:val="style0"/>
    <w:next w:val="style31"/>
    <w:link w:val="style4100"/>
    <w:uiPriority w:val="99"/>
    <w:pPr>
      <w:tabs>
        <w:tab w:val="center" w:leader="none" w:pos="4153"/>
        <w:tab w:val="right" w:leader="none" w:pos="8306"/>
      </w:tabs>
      <w:spacing w:after="0" w:lineRule="auto" w:line="240"/>
    </w:pPr>
    <w:rPr/>
  </w:style>
  <w:style w:type="character" w:customStyle="1" w:styleId="style4100">
    <w:name w:val="Κεφαλίδα Char"/>
    <w:basedOn w:val="style65"/>
    <w:next w:val="style4100"/>
    <w:link w:val="style31"/>
    <w:uiPriority w:val="99"/>
  </w:style>
  <w:style w:type="paragraph" w:styleId="style32">
    <w:name w:val="footer"/>
    <w:basedOn w:val="style0"/>
    <w:next w:val="style32"/>
    <w:link w:val="style4101"/>
    <w:uiPriority w:val="99"/>
    <w:pPr>
      <w:tabs>
        <w:tab w:val="center" w:leader="none" w:pos="4153"/>
        <w:tab w:val="right" w:leader="none" w:pos="8306"/>
      </w:tabs>
      <w:spacing w:after="0" w:lineRule="auto" w:line="240"/>
    </w:pPr>
    <w:rPr/>
  </w:style>
  <w:style w:type="character" w:customStyle="1" w:styleId="style4101">
    <w:name w:val="Υποσέλιδο Char"/>
    <w:basedOn w:val="style65"/>
    <w:next w:val="style4101"/>
    <w:link w:val="style32"/>
    <w:uiPriority w:val="99"/>
  </w:style>
  <w:style w:type="paragraph" w:styleId="style157">
    <w:name w:val="No Spacing"/>
    <w:next w:val="style157"/>
    <w:link w:val="style4102"/>
    <w:qFormat/>
    <w:uiPriority w:val="1"/>
    <w:pPr>
      <w:spacing w:after="0" w:lineRule="auto" w:line="240"/>
    </w:pPr>
    <w:rPr>
      <w:rFonts w:eastAsia="宋体"/>
      <w:lang w:eastAsia="el-GR"/>
    </w:rPr>
  </w:style>
  <w:style w:type="character" w:customStyle="1" w:styleId="style4102">
    <w:name w:val="Χωρίς διάστιχο Char"/>
    <w:basedOn w:val="style65"/>
    <w:next w:val="style4102"/>
    <w:link w:val="style157"/>
    <w:uiPriority w:val="1"/>
    <w:rPr>
      <w:rFonts w:eastAsia="宋体"/>
      <w:lang w:eastAsia="el-GR"/>
    </w:rPr>
  </w:style>
  <w:style w:type="paragraph" w:styleId="style179">
    <w:name w:val="List Paragraph"/>
    <w:basedOn w:val="style0"/>
    <w:next w:val="style179"/>
    <w:qFormat/>
    <w:uiPriority w:val="34"/>
    <w:pPr>
      <w:ind w:left="720"/>
      <w:contextualSpacing/>
    </w:pPr>
    <w:rPr/>
  </w:style>
  <w:style w:type="table" w:styleId="style154">
    <w:name w:val="Table Grid"/>
    <w:basedOn w:val="style105"/>
    <w:next w:val="style154"/>
    <w:uiPriority w:val="39"/>
    <w:pPr>
      <w:spacing w:after="0" w:lineRule="auto" w:line="240"/>
    </w:pP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cPr>
  </w:style>
  <w:style w:type="paragraph" w:styleId="style34">
    <w:name w:val="caption"/>
    <w:basedOn w:val="style0"/>
    <w:next w:val="style0"/>
    <w:qFormat/>
    <w:uiPriority w:val="35"/>
    <w:pPr>
      <w:spacing w:after="200" w:lineRule="auto" w:line="240"/>
    </w:pPr>
    <w:rPr>
      <w:i/>
      <w:iCs/>
      <w:color w:val="44546a"/>
      <w:sz w:val="18"/>
      <w:szCs w:val="18"/>
    </w:rPr>
  </w:style>
  <w:style w:type="paragraph" w:styleId="style29">
    <w:name w:val="footnote text"/>
    <w:basedOn w:val="style0"/>
    <w:next w:val="style29"/>
    <w:link w:val="style4103"/>
    <w:uiPriority w:val="99"/>
    <w:pPr>
      <w:spacing w:after="0" w:lineRule="auto" w:line="240"/>
    </w:pPr>
    <w:rPr>
      <w:sz w:val="20"/>
      <w:szCs w:val="20"/>
    </w:rPr>
  </w:style>
  <w:style w:type="character" w:customStyle="1" w:styleId="style4103">
    <w:name w:val="Κείμενο υποσημείωσης Char"/>
    <w:basedOn w:val="style65"/>
    <w:next w:val="style4103"/>
    <w:link w:val="style29"/>
    <w:uiPriority w:val="99"/>
    <w:rPr>
      <w:sz w:val="20"/>
      <w:szCs w:val="20"/>
    </w:rPr>
  </w:style>
  <w:style w:type="character" w:styleId="style38">
    <w:name w:val="footnote reference"/>
    <w:basedOn w:val="style65"/>
    <w:next w:val="style38"/>
    <w:uiPriority w:val="99"/>
    <w:rPr>
      <w:vertAlign w:val="superscript"/>
    </w:rPr>
  </w:style>
  <w:style w:type="character" w:styleId="style156">
    <w:name w:val="Placeholder Text"/>
    <w:basedOn w:val="style65"/>
    <w:next w:val="style156"/>
    <w:uiPriority w:val="99"/>
    <w:rPr>
      <w:color w:val="808080"/>
    </w:rPr>
  </w:style>
  <w:style w:type="paragraph" w:styleId="style265">
    <w:name w:val="Bibliography"/>
    <w:basedOn w:val="style0"/>
    <w:next w:val="style0"/>
    <w:uiPriority w:val="37"/>
    <w:pPr/>
  </w:style>
  <w:style w:type="character" w:customStyle="1" w:styleId="style4104">
    <w:name w:val="adjust-article-svg-size"/>
    <w:basedOn w:val="style65"/>
    <w:next w:val="style4104"/>
  </w:style>
  <w:style w:type="character" w:styleId="style97">
    <w:name w:val="HTML Cite"/>
    <w:basedOn w:val="style65"/>
    <w:next w:val="style97"/>
    <w:uiPriority w:val="99"/>
    <w:rPr>
      <w:i/>
      <w:iCs/>
    </w:rPr>
  </w:style>
</w:styles>
</file>

<file path=word/_rels/document.xml.rels><?xml version="1.0" encoding="UTF-8"?>
<Relationships xmlns="http://schemas.openxmlformats.org/package/2006/relationships"><Relationship Id="rId40" Type="http://schemas.openxmlformats.org/officeDocument/2006/relationships/image" Target="media/image38.png"/><Relationship Id="rId42" Type="http://schemas.openxmlformats.org/officeDocument/2006/relationships/image" Target="media/image40.png"/><Relationship Id="rId41" Type="http://schemas.openxmlformats.org/officeDocument/2006/relationships/image" Target="media/image39.png"/><Relationship Id="rId44" Type="http://schemas.openxmlformats.org/officeDocument/2006/relationships/footer" Target="footer1.xml"/><Relationship Id="rId43" Type="http://schemas.openxmlformats.org/officeDocument/2006/relationships/image" Target="media/image41.png"/><Relationship Id="rId46" Type="http://schemas.openxmlformats.org/officeDocument/2006/relationships/image" Target="media/image43.png"/><Relationship Id="rId45" Type="http://schemas.openxmlformats.org/officeDocument/2006/relationships/image" Target="media/image42.png"/><Relationship Id="rId1" Type="http://schemas.openxmlformats.org/officeDocument/2006/relationships/numbering" Target="numbering.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2.jpeg"/><Relationship Id="rId9" Type="http://schemas.openxmlformats.org/officeDocument/2006/relationships/image" Target="media/image7.png"/><Relationship Id="rId48" Type="http://schemas.openxmlformats.org/officeDocument/2006/relationships/image" Target="media/image45.png"/><Relationship Id="rId47" Type="http://schemas.openxmlformats.org/officeDocument/2006/relationships/image" Target="media/image44.png"/><Relationship Id="rId49" Type="http://schemas.openxmlformats.org/officeDocument/2006/relationships/image" Target="media/image46.png"/><Relationship Id="rId5" Type="http://schemas.openxmlformats.org/officeDocument/2006/relationships/image" Target="media/image3.png"/><Relationship Id="rId6" Type="http://schemas.openxmlformats.org/officeDocument/2006/relationships/image" Target="media/image4.png"/><Relationship Id="rId7" Type="http://schemas.openxmlformats.org/officeDocument/2006/relationships/image" Target="media/image5.png"/><Relationship Id="rId8" Type="http://schemas.openxmlformats.org/officeDocument/2006/relationships/image" Target="media/image6.png"/><Relationship Id="rId31" Type="http://schemas.openxmlformats.org/officeDocument/2006/relationships/image" Target="media/image29.png"/><Relationship Id="rId30" Type="http://schemas.openxmlformats.org/officeDocument/2006/relationships/image" Target="media/image28.png"/><Relationship Id="rId33" Type="http://schemas.openxmlformats.org/officeDocument/2006/relationships/image" Target="media/image31.png"/><Relationship Id="rId32" Type="http://schemas.openxmlformats.org/officeDocument/2006/relationships/image" Target="media/image30.png"/><Relationship Id="rId35" Type="http://schemas.openxmlformats.org/officeDocument/2006/relationships/image" Target="media/image33.png"/><Relationship Id="rId34" Type="http://schemas.openxmlformats.org/officeDocument/2006/relationships/image" Target="media/image32.png"/><Relationship Id="rId37" Type="http://schemas.openxmlformats.org/officeDocument/2006/relationships/image" Target="media/image35.png"/><Relationship Id="rId36" Type="http://schemas.openxmlformats.org/officeDocument/2006/relationships/image" Target="media/image34.png"/><Relationship Id="rId39" Type="http://schemas.openxmlformats.org/officeDocument/2006/relationships/image" Target="media/image37.png"/><Relationship Id="rId38" Type="http://schemas.openxmlformats.org/officeDocument/2006/relationships/image" Target="media/image36.png"/><Relationship Id="rId62" Type="http://schemas.openxmlformats.org/officeDocument/2006/relationships/customXml" Target="../customXml/item2.xml"/><Relationship Id="rId61" Type="http://schemas.openxmlformats.org/officeDocument/2006/relationships/customXml" Target="../customXml/item1.xml"/><Relationship Id="rId20" Type="http://schemas.openxmlformats.org/officeDocument/2006/relationships/image" Target="media/image18.png"/><Relationship Id="rId22" Type="http://schemas.openxmlformats.org/officeDocument/2006/relationships/image" Target="media/image20.png"/><Relationship Id="rId21" Type="http://schemas.openxmlformats.org/officeDocument/2006/relationships/image" Target="media/image19.png"/><Relationship Id="rId24" Type="http://schemas.openxmlformats.org/officeDocument/2006/relationships/image" Target="media/image22.png"/><Relationship Id="rId23" Type="http://schemas.openxmlformats.org/officeDocument/2006/relationships/image" Target="media/image21.png"/><Relationship Id="rId60" Type="http://schemas.openxmlformats.org/officeDocument/2006/relationships/theme" Target="theme/theme1.xml"/><Relationship Id="rId26" Type="http://schemas.openxmlformats.org/officeDocument/2006/relationships/image" Target="media/image24.png"/><Relationship Id="rId25" Type="http://schemas.openxmlformats.org/officeDocument/2006/relationships/image" Target="media/image23.png"/><Relationship Id="rId28" Type="http://schemas.openxmlformats.org/officeDocument/2006/relationships/image" Target="media/image26.png"/><Relationship Id="rId27" Type="http://schemas.openxmlformats.org/officeDocument/2006/relationships/image" Target="media/image25.png"/><Relationship Id="rId29" Type="http://schemas.openxmlformats.org/officeDocument/2006/relationships/image" Target="media/image27.png"/><Relationship Id="rId51" Type="http://schemas.openxmlformats.org/officeDocument/2006/relationships/image" Target="media/image48.png"/><Relationship Id="rId50" Type="http://schemas.openxmlformats.org/officeDocument/2006/relationships/image" Target="media/image47.png"/><Relationship Id="rId53" Type="http://schemas.openxmlformats.org/officeDocument/2006/relationships/image" Target="media/image50.png"/><Relationship Id="rId52" Type="http://schemas.openxmlformats.org/officeDocument/2006/relationships/image" Target="media/image49.png"/><Relationship Id="rId11" Type="http://schemas.openxmlformats.org/officeDocument/2006/relationships/image" Target="media/image9.png"/><Relationship Id="rId55" Type="http://schemas.openxmlformats.org/officeDocument/2006/relationships/image" Target="media/image52.png"/><Relationship Id="rId10" Type="http://schemas.openxmlformats.org/officeDocument/2006/relationships/image" Target="media/image8.png"/><Relationship Id="rId54" Type="http://schemas.openxmlformats.org/officeDocument/2006/relationships/image" Target="media/image51.png"/><Relationship Id="rId13" Type="http://schemas.openxmlformats.org/officeDocument/2006/relationships/image" Target="media/image11.png"/><Relationship Id="rId57" Type="http://schemas.openxmlformats.org/officeDocument/2006/relationships/styles" Target="styles.xml"/><Relationship Id="rId12" Type="http://schemas.openxmlformats.org/officeDocument/2006/relationships/image" Target="media/image10.png"/><Relationship Id="rId56" Type="http://schemas.openxmlformats.org/officeDocument/2006/relationships/footer" Target="footer2.xml"/><Relationship Id="rId15" Type="http://schemas.openxmlformats.org/officeDocument/2006/relationships/image" Target="media/image13.png"/><Relationship Id="rId59" Type="http://schemas.openxmlformats.org/officeDocument/2006/relationships/settings" Target="settings.xml"/><Relationship Id="rId14" Type="http://schemas.openxmlformats.org/officeDocument/2006/relationships/image" Target="media/image12.png"/><Relationship Id="rId58" Type="http://schemas.openxmlformats.org/officeDocument/2006/relationships/fontTable" Target="fontTable.xml"/><Relationship Id="rId17" Type="http://schemas.openxmlformats.org/officeDocument/2006/relationships/image" Target="media/image15.png"/><Relationship Id="rId16" Type="http://schemas.openxmlformats.org/officeDocument/2006/relationships/image" Target="media/image14.png"/><Relationship Id="rId19" Type="http://schemas.openxmlformats.org/officeDocument/2006/relationships/image" Target="media/image17.png"/><Relationship Id="rId18"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Relationships>
</file>

<file path=customXml/_rels/item2.xml.rels><?xml version="1.0" encoding="UTF-8"?>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Επιβλέπων καθηγητής: Σταυρουλάκης Γεώργιος</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CHICAGO.XSL" StyleName="Chicago" Version="15">
  <b:Source>
    <b:Tag>Bri53</b:Tag>
    <b:SourceType>Book</b:SourceType>
    <b:Guid>{C6022690-910D-477E-8C1E-E535C7E62E89}</b:Guid>
    <b:Title>Wave Propogation in periodic structures.</b:Title>
    <b:Year>1953</b:Year>
    <b:Author>
      <b:Author>
        <b:NameList>
          <b:Person>
            <b:Last>Brillouin</b:Last>
            <b:First>L.</b:First>
          </b:Person>
        </b:NameList>
      </b:Author>
    </b:Author>
    <b:City>New Yord</b:City>
    <b:Publisher>Dover</b:Publisher>
    <b:Edition>2nd</b:Edition>
    <b:LCID>en-US</b:LCID>
    <b:RefOrder>1</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1E9F377-87EF-4544-8D7B-1C755FD903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1396</TotalTime>
  <Words>6086</Words>
  <Pages>54</Pages>
  <Characters>34972</Characters>
  <Application>WPS Office</Application>
  <DocSecurity>0</DocSecurity>
  <Paragraphs>828</Paragraphs>
  <ScaleCrop>false</ScaleCrop>
  <Company>Πολυτεχνείο Κρήτης: Τμήμα μηχανικών παραγωγής και διοίκησης</Company>
  <LinksUpToDate>false</LinksUpToDate>
  <CharactersWithSpaces>40503</CharactersWithSpaces>
  <SharedDoc>false</SharedDoc>
  <HyperlinksChanged>false</HyperlinksChanged>
  <AppVersion>16.000</AppVersion>
</Properties>
</file>

<file path=docProps/core.xml><?xml version="1.0" encoding="utf-8"?>
<coreProperties xmlns="http://schemas.openxmlformats.org/package/2006/metadata/core-properties" xmlns:cp="http://schemas.openxmlformats.org/package/2006/metadata/core-properties" xmlns:dc="http://purl.org/dc/elements/1.1/" xmlns:dcterms="http://purl.org/dc/terms/" xmlns:xsi="http://www.w3.org/2001/XMLSchema-instance">
  <dcterms:created xsi:type="dcterms:W3CDTF">2021-03-12T11:09:00Z</dcterms:created>
  <dc:creator>Κούγκουλος Αλέξανδρος Α.Μ. 2011010127</dc:creator>
  <lastModifiedBy>Redmi Note 7</lastModifiedBy>
  <dcterms:modified xsi:type="dcterms:W3CDTF">2021-07-20T08:47:31Z</dcterms:modified>
  <revision>467</revision>
  <dc:subject>Band gap analysis on tetrachiral auxetic microstructures using finite elements</dc:subject>
  <dc:title>Εύρεση ζώνης χασμάτων στη διάδοση κυμάτων σε τετραχειρόμορφες μικροδομές αυξητικών υλικών με χρήση πεπερασμένων στοιχείων</dc:title>
</coreProperties>
</file>

<file path=docProps/custom.xml><?xml version="1.0" encoding="utf-8"?>
<Properties xmlns="http://schemas.openxmlformats.org/officeDocument/2006/custom-properties" xmlns:vt="http://schemas.openxmlformats.org/officeDocument/2006/docPropsVTypes"/>
</file>